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8733B" w14:textId="77777777" w:rsidR="00FF6D74" w:rsidRDefault="00093E04" w:rsidP="00093E04">
      <w:pPr>
        <w:spacing w:line="240" w:lineRule="auto"/>
        <w:contextualSpacing/>
        <w:jc w:val="center"/>
        <w:rPr>
          <w:b/>
          <w:sz w:val="28"/>
          <w:szCs w:val="28"/>
        </w:rPr>
      </w:pPr>
      <w:r>
        <w:rPr>
          <w:b/>
          <w:sz w:val="28"/>
          <w:szCs w:val="28"/>
        </w:rPr>
        <w:t>Louisa County Water Authority</w:t>
      </w:r>
    </w:p>
    <w:p w14:paraId="51795B33" w14:textId="77777777" w:rsidR="00093E04" w:rsidRDefault="004976B2" w:rsidP="00093E04">
      <w:pPr>
        <w:spacing w:line="240" w:lineRule="auto"/>
        <w:contextualSpacing/>
        <w:jc w:val="center"/>
        <w:rPr>
          <w:b/>
          <w:sz w:val="28"/>
          <w:szCs w:val="28"/>
        </w:rPr>
      </w:pPr>
      <w:r>
        <w:rPr>
          <w:b/>
          <w:sz w:val="28"/>
          <w:szCs w:val="28"/>
        </w:rPr>
        <w:t>Service</w:t>
      </w:r>
      <w:r w:rsidR="00093E04">
        <w:rPr>
          <w:b/>
          <w:sz w:val="28"/>
          <w:szCs w:val="28"/>
        </w:rPr>
        <w:t xml:space="preserve"> Policies</w:t>
      </w:r>
    </w:p>
    <w:p w14:paraId="37AC9948" w14:textId="0FEE3493" w:rsidR="00093E04" w:rsidRDefault="00BE2903" w:rsidP="004976B2">
      <w:pPr>
        <w:spacing w:line="240" w:lineRule="auto"/>
        <w:contextualSpacing/>
        <w:jc w:val="center"/>
        <w:rPr>
          <w:b/>
          <w:color w:val="FF0000"/>
          <w:sz w:val="16"/>
          <w:szCs w:val="16"/>
        </w:rPr>
      </w:pPr>
      <w:r w:rsidRPr="0033100C">
        <w:rPr>
          <w:b/>
          <w:color w:val="FF0000"/>
          <w:sz w:val="16"/>
          <w:szCs w:val="16"/>
        </w:rPr>
        <w:t xml:space="preserve">Updated </w:t>
      </w:r>
      <w:r w:rsidR="00820296">
        <w:rPr>
          <w:b/>
          <w:color w:val="FF0000"/>
          <w:sz w:val="16"/>
          <w:szCs w:val="16"/>
        </w:rPr>
        <w:t>July 1, 202</w:t>
      </w:r>
      <w:r w:rsidR="00FF52EF">
        <w:rPr>
          <w:b/>
          <w:color w:val="FF0000"/>
          <w:sz w:val="16"/>
          <w:szCs w:val="16"/>
        </w:rPr>
        <w:t>4</w:t>
      </w:r>
    </w:p>
    <w:p w14:paraId="73812C41" w14:textId="77777777" w:rsidR="0033100C" w:rsidRPr="0033100C" w:rsidRDefault="0033100C" w:rsidP="004976B2">
      <w:pPr>
        <w:spacing w:line="240" w:lineRule="auto"/>
        <w:contextualSpacing/>
        <w:jc w:val="center"/>
        <w:rPr>
          <w:b/>
          <w:color w:val="FF0000"/>
          <w:sz w:val="16"/>
          <w:szCs w:val="16"/>
        </w:rPr>
      </w:pPr>
    </w:p>
    <w:p w14:paraId="3D8BB64B" w14:textId="77777777" w:rsidR="004976B2" w:rsidRPr="004976B2" w:rsidRDefault="00CA18AE" w:rsidP="004976B2">
      <w:pPr>
        <w:spacing w:line="240" w:lineRule="auto"/>
        <w:contextualSpacing/>
        <w:jc w:val="center"/>
        <w:rPr>
          <w:b/>
          <w:i/>
        </w:rPr>
      </w:pPr>
      <w:r>
        <w:rPr>
          <w:b/>
          <w:i/>
        </w:rPr>
        <w:t>Louisa County Water Authority will provide water and sewer services within designated service areas</w:t>
      </w:r>
      <w:r w:rsidR="005A3E90">
        <w:rPr>
          <w:b/>
          <w:i/>
        </w:rPr>
        <w:t>;</w:t>
      </w:r>
      <w:r>
        <w:rPr>
          <w:b/>
          <w:i/>
        </w:rPr>
        <w:t xml:space="preserve"> where infrastructure is available and </w:t>
      </w:r>
      <w:r w:rsidR="005A3E90">
        <w:rPr>
          <w:b/>
          <w:i/>
        </w:rPr>
        <w:t xml:space="preserve">service is </w:t>
      </w:r>
      <w:r>
        <w:rPr>
          <w:b/>
          <w:i/>
        </w:rPr>
        <w:t xml:space="preserve">economically feasible. </w:t>
      </w:r>
    </w:p>
    <w:p w14:paraId="33DD3EAD" w14:textId="77777777" w:rsidR="004976B2" w:rsidRDefault="004976B2" w:rsidP="004976B2">
      <w:pPr>
        <w:spacing w:line="240" w:lineRule="auto"/>
        <w:contextualSpacing/>
        <w:jc w:val="center"/>
        <w:rPr>
          <w:b/>
          <w:sz w:val="28"/>
          <w:szCs w:val="28"/>
        </w:rPr>
      </w:pPr>
    </w:p>
    <w:p w14:paraId="05A789A7" w14:textId="77777777" w:rsidR="00820296" w:rsidRDefault="00820296" w:rsidP="00820296">
      <w:pPr>
        <w:spacing w:line="240" w:lineRule="auto"/>
        <w:contextualSpacing/>
      </w:pPr>
      <w:r>
        <w:t>I.  Connection Fees:</w:t>
      </w:r>
    </w:p>
    <w:p w14:paraId="07587D46" w14:textId="77777777" w:rsidR="00820296" w:rsidRDefault="00820296" w:rsidP="00820296">
      <w:pPr>
        <w:pStyle w:val="ListParagraph"/>
        <w:numPr>
          <w:ilvl w:val="0"/>
          <w:numId w:val="13"/>
        </w:numPr>
        <w:spacing w:line="240" w:lineRule="auto"/>
      </w:pPr>
      <w:r>
        <w:t>Connection Fees:</w:t>
      </w:r>
    </w:p>
    <w:p w14:paraId="68CAA358" w14:textId="77777777" w:rsidR="00820296" w:rsidRPr="00E81442" w:rsidRDefault="00820296" w:rsidP="00820296">
      <w:pPr>
        <w:ind w:left="720"/>
        <w:rPr>
          <w:color w:val="1F497D"/>
        </w:rPr>
      </w:pPr>
      <w:r>
        <w:t xml:space="preserve">A Connection Fee is a specified one-time fee paid for the right to make a specific size connection to the water system or a connection to the sewer system.  A Connection Fee is valid for one year from payment, is transferable with the property and is non-refundable.  If one year has passed since the payment of the connection fee, and the property has not been connected to the Louisa County Water Authority system, then before connecting to the system, a property owner will be required to pay to the Authority the difference between the current prevailing rate and the rate initially paid. The Connection Fee reserves a portion of the capacity of the water or sewer systems.  </w:t>
      </w:r>
    </w:p>
    <w:p w14:paraId="06742EE5" w14:textId="3D883464" w:rsidR="00093E04" w:rsidRDefault="00093E04" w:rsidP="00093E04">
      <w:pPr>
        <w:spacing w:line="240" w:lineRule="auto"/>
        <w:contextualSpacing/>
      </w:pPr>
      <w:r>
        <w:tab/>
      </w:r>
      <w:r>
        <w:tab/>
        <w:t xml:space="preserve">1.  Single Family Dwelling (per dwelling): </w:t>
      </w:r>
    </w:p>
    <w:p w14:paraId="3237B666" w14:textId="77777777" w:rsidR="00093E04" w:rsidRPr="00093E04" w:rsidRDefault="00093E04" w:rsidP="00093E04">
      <w:pPr>
        <w:spacing w:line="240" w:lineRule="auto"/>
        <w:contextualSpacing/>
      </w:pPr>
    </w:p>
    <w:tbl>
      <w:tblPr>
        <w:tblStyle w:val="TableGrid"/>
        <w:tblW w:w="0" w:type="auto"/>
        <w:tblInd w:w="2178" w:type="dxa"/>
        <w:tblLook w:val="04A0" w:firstRow="1" w:lastRow="0" w:firstColumn="1" w:lastColumn="0" w:noHBand="0" w:noVBand="1"/>
      </w:tblPr>
      <w:tblGrid>
        <w:gridCol w:w="1260"/>
        <w:gridCol w:w="1260"/>
      </w:tblGrid>
      <w:tr w:rsidR="00093E04" w14:paraId="7E0C9D61" w14:textId="77777777" w:rsidTr="00093E04">
        <w:tc>
          <w:tcPr>
            <w:tcW w:w="1260" w:type="dxa"/>
          </w:tcPr>
          <w:p w14:paraId="1E5D2B2B" w14:textId="77777777" w:rsidR="00093E04" w:rsidRDefault="00093E04" w:rsidP="00800777">
            <w:pPr>
              <w:contextualSpacing/>
              <w:jc w:val="center"/>
            </w:pPr>
            <w:r>
              <w:t>WATER</w:t>
            </w:r>
          </w:p>
        </w:tc>
        <w:tc>
          <w:tcPr>
            <w:tcW w:w="1260" w:type="dxa"/>
          </w:tcPr>
          <w:p w14:paraId="774DC85D" w14:textId="77777777" w:rsidR="00093E04" w:rsidRDefault="00093E04" w:rsidP="00800777">
            <w:pPr>
              <w:contextualSpacing/>
              <w:jc w:val="center"/>
            </w:pPr>
            <w:r>
              <w:t>SEWER</w:t>
            </w:r>
          </w:p>
        </w:tc>
      </w:tr>
      <w:tr w:rsidR="00093E04" w14:paraId="2070B3E8" w14:textId="77777777" w:rsidTr="00093E04">
        <w:tc>
          <w:tcPr>
            <w:tcW w:w="1260" w:type="dxa"/>
          </w:tcPr>
          <w:p w14:paraId="44FE8D58" w14:textId="5449B34E" w:rsidR="00093E04" w:rsidRDefault="00093E04">
            <w:pPr>
              <w:contextualSpacing/>
              <w:jc w:val="right"/>
            </w:pPr>
            <w:r>
              <w:t>$</w:t>
            </w:r>
            <w:r w:rsidR="0064402E">
              <w:t>5,250</w:t>
            </w:r>
            <w:r>
              <w:t>.00</w:t>
            </w:r>
          </w:p>
        </w:tc>
        <w:tc>
          <w:tcPr>
            <w:tcW w:w="1260" w:type="dxa"/>
          </w:tcPr>
          <w:p w14:paraId="74815397" w14:textId="2A7098BF" w:rsidR="00093E04" w:rsidRDefault="00093E04">
            <w:pPr>
              <w:contextualSpacing/>
              <w:jc w:val="right"/>
            </w:pPr>
            <w:r>
              <w:t>$</w:t>
            </w:r>
            <w:r w:rsidR="0064402E">
              <w:t>6,750</w:t>
            </w:r>
            <w:r>
              <w:t>.00</w:t>
            </w:r>
          </w:p>
        </w:tc>
      </w:tr>
    </w:tbl>
    <w:p w14:paraId="1EB27C10" w14:textId="77777777" w:rsidR="00093E04" w:rsidRDefault="00093E04" w:rsidP="00093E04">
      <w:pPr>
        <w:spacing w:line="240" w:lineRule="auto"/>
        <w:contextualSpacing/>
      </w:pPr>
    </w:p>
    <w:p w14:paraId="404E2ECE" w14:textId="77777777" w:rsidR="00093E04" w:rsidRDefault="00093E04" w:rsidP="00093E04">
      <w:pPr>
        <w:spacing w:line="240" w:lineRule="auto"/>
        <w:contextualSpacing/>
      </w:pPr>
      <w:r>
        <w:tab/>
      </w:r>
      <w:r>
        <w:tab/>
        <w:t xml:space="preserve">2.  The schedule of </w:t>
      </w:r>
      <w:r w:rsidR="0033100C">
        <w:t xml:space="preserve">Connection </w:t>
      </w:r>
      <w:r>
        <w:t>Fees for Industrial and Com</w:t>
      </w:r>
      <w:r w:rsidR="005A3E90">
        <w:t xml:space="preserve">mercial customers </w:t>
      </w:r>
      <w:r w:rsidR="00BE2903">
        <w:t>is</w:t>
      </w:r>
      <w:r w:rsidR="005A3E90">
        <w:t xml:space="preserve"> as </w:t>
      </w:r>
      <w:r>
        <w:t>follows:</w:t>
      </w:r>
      <w:r w:rsidR="00B06C59">
        <w:t>*</w:t>
      </w:r>
    </w:p>
    <w:p w14:paraId="12666922" w14:textId="77777777" w:rsidR="00093E04" w:rsidRDefault="00093E04" w:rsidP="00093E04">
      <w:pPr>
        <w:spacing w:line="240" w:lineRule="auto"/>
        <w:contextualSpacing/>
      </w:pPr>
    </w:p>
    <w:tbl>
      <w:tblPr>
        <w:tblStyle w:val="TableGrid"/>
        <w:tblW w:w="0" w:type="auto"/>
        <w:tblInd w:w="1458" w:type="dxa"/>
        <w:tblLook w:val="04A0" w:firstRow="1" w:lastRow="0" w:firstColumn="1" w:lastColumn="0" w:noHBand="0" w:noVBand="1"/>
      </w:tblPr>
      <w:tblGrid>
        <w:gridCol w:w="1260"/>
        <w:gridCol w:w="1710"/>
        <w:gridCol w:w="1890"/>
        <w:gridCol w:w="1350"/>
        <w:gridCol w:w="1350"/>
      </w:tblGrid>
      <w:tr w:rsidR="00B06C59" w14:paraId="6B3495CD" w14:textId="77777777" w:rsidTr="00B06C59">
        <w:tc>
          <w:tcPr>
            <w:tcW w:w="1260" w:type="dxa"/>
          </w:tcPr>
          <w:p w14:paraId="7DDBFE16" w14:textId="77777777" w:rsidR="00B06C59" w:rsidRDefault="00B06C59" w:rsidP="00B06C59">
            <w:pPr>
              <w:contextualSpacing/>
              <w:jc w:val="center"/>
            </w:pPr>
            <w:r>
              <w:t>Meter Size</w:t>
            </w:r>
          </w:p>
        </w:tc>
        <w:tc>
          <w:tcPr>
            <w:tcW w:w="1710" w:type="dxa"/>
          </w:tcPr>
          <w:p w14:paraId="7BAF8FCB" w14:textId="77777777" w:rsidR="00B06C59" w:rsidRDefault="00B06C59" w:rsidP="00B06C59">
            <w:pPr>
              <w:contextualSpacing/>
              <w:jc w:val="center"/>
            </w:pPr>
            <w:r>
              <w:t>Maximum GPM</w:t>
            </w:r>
          </w:p>
        </w:tc>
        <w:tc>
          <w:tcPr>
            <w:tcW w:w="1890" w:type="dxa"/>
          </w:tcPr>
          <w:p w14:paraId="192C5E0D" w14:textId="77777777" w:rsidR="00B06C59" w:rsidRDefault="00B06C59" w:rsidP="00B06C59">
            <w:pPr>
              <w:contextualSpacing/>
              <w:jc w:val="center"/>
            </w:pPr>
            <w:r>
              <w:t>Gallons Per Month</w:t>
            </w:r>
          </w:p>
        </w:tc>
        <w:tc>
          <w:tcPr>
            <w:tcW w:w="1350" w:type="dxa"/>
          </w:tcPr>
          <w:p w14:paraId="5620E393" w14:textId="77777777" w:rsidR="00B06C59" w:rsidRDefault="00B06C59" w:rsidP="00B06C59">
            <w:pPr>
              <w:contextualSpacing/>
              <w:jc w:val="center"/>
            </w:pPr>
            <w:r>
              <w:t>WATER</w:t>
            </w:r>
          </w:p>
        </w:tc>
        <w:tc>
          <w:tcPr>
            <w:tcW w:w="1350" w:type="dxa"/>
          </w:tcPr>
          <w:p w14:paraId="46C769D9" w14:textId="77777777" w:rsidR="00B06C59" w:rsidRDefault="00B06C59" w:rsidP="00B06C59">
            <w:pPr>
              <w:contextualSpacing/>
              <w:jc w:val="center"/>
            </w:pPr>
            <w:r>
              <w:t>SEWER</w:t>
            </w:r>
          </w:p>
        </w:tc>
      </w:tr>
      <w:tr w:rsidR="00B06C59" w14:paraId="20E9496C" w14:textId="77777777" w:rsidTr="00B06C59">
        <w:tc>
          <w:tcPr>
            <w:tcW w:w="1260" w:type="dxa"/>
          </w:tcPr>
          <w:p w14:paraId="5B63CFDC" w14:textId="3CA08FF5" w:rsidR="00DF0792" w:rsidRDefault="00DF0792">
            <w:pPr>
              <w:contextualSpacing/>
              <w:jc w:val="center"/>
            </w:pPr>
            <w:r>
              <w:t xml:space="preserve">3/4” </w:t>
            </w:r>
            <w:r w:rsidR="0064402E">
              <w:t>or</w:t>
            </w:r>
            <w:r>
              <w:t xml:space="preserve"> 5/8”</w:t>
            </w:r>
          </w:p>
        </w:tc>
        <w:tc>
          <w:tcPr>
            <w:tcW w:w="1710" w:type="dxa"/>
          </w:tcPr>
          <w:p w14:paraId="1F2A0477" w14:textId="77777777" w:rsidR="00B06C59" w:rsidRDefault="00B06C59" w:rsidP="00B06C59">
            <w:pPr>
              <w:contextualSpacing/>
              <w:jc w:val="center"/>
            </w:pPr>
            <w:r>
              <w:t>20</w:t>
            </w:r>
          </w:p>
        </w:tc>
        <w:tc>
          <w:tcPr>
            <w:tcW w:w="1890" w:type="dxa"/>
          </w:tcPr>
          <w:p w14:paraId="29F9FF08" w14:textId="77777777" w:rsidR="00B06C59" w:rsidRDefault="00B06C59" w:rsidP="00B06C59">
            <w:pPr>
              <w:contextualSpacing/>
              <w:jc w:val="right"/>
            </w:pPr>
            <w:r>
              <w:t>4,000 / 16,000</w:t>
            </w:r>
          </w:p>
        </w:tc>
        <w:tc>
          <w:tcPr>
            <w:tcW w:w="1350" w:type="dxa"/>
          </w:tcPr>
          <w:p w14:paraId="76B9996A" w14:textId="77777777" w:rsidR="00B06C59" w:rsidRDefault="00B06C59" w:rsidP="00B06C59">
            <w:pPr>
              <w:contextualSpacing/>
              <w:jc w:val="right"/>
            </w:pPr>
            <w:r>
              <w:t>$5,250.00</w:t>
            </w:r>
          </w:p>
        </w:tc>
        <w:tc>
          <w:tcPr>
            <w:tcW w:w="1350" w:type="dxa"/>
          </w:tcPr>
          <w:p w14:paraId="493F6A99" w14:textId="77777777" w:rsidR="00B06C59" w:rsidRDefault="00B06C59" w:rsidP="00B06C59">
            <w:pPr>
              <w:contextualSpacing/>
              <w:jc w:val="right"/>
            </w:pPr>
            <w:r>
              <w:t>$6,750.00</w:t>
            </w:r>
          </w:p>
        </w:tc>
      </w:tr>
      <w:tr w:rsidR="00B06C59" w14:paraId="235EF3CB" w14:textId="77777777" w:rsidTr="00B06C59">
        <w:tc>
          <w:tcPr>
            <w:tcW w:w="1260" w:type="dxa"/>
          </w:tcPr>
          <w:p w14:paraId="30B285E8" w14:textId="77777777" w:rsidR="00B06C59" w:rsidRDefault="00B06C59" w:rsidP="00B06C59">
            <w:pPr>
              <w:contextualSpacing/>
              <w:jc w:val="center"/>
            </w:pPr>
            <w:r>
              <w:t>1”</w:t>
            </w:r>
          </w:p>
        </w:tc>
        <w:tc>
          <w:tcPr>
            <w:tcW w:w="1710" w:type="dxa"/>
          </w:tcPr>
          <w:p w14:paraId="4BC7EEAC" w14:textId="77777777" w:rsidR="00B06C59" w:rsidRDefault="00B06C59" w:rsidP="00B06C59">
            <w:pPr>
              <w:contextualSpacing/>
              <w:jc w:val="center"/>
            </w:pPr>
            <w:r>
              <w:t>50</w:t>
            </w:r>
          </w:p>
        </w:tc>
        <w:tc>
          <w:tcPr>
            <w:tcW w:w="1890" w:type="dxa"/>
          </w:tcPr>
          <w:p w14:paraId="501C0AB5" w14:textId="77777777" w:rsidR="00B06C59" w:rsidRDefault="00B06C59" w:rsidP="00B06C59">
            <w:pPr>
              <w:contextualSpacing/>
              <w:jc w:val="right"/>
            </w:pPr>
            <w:r>
              <w:t>16,000 / 32,000</w:t>
            </w:r>
          </w:p>
        </w:tc>
        <w:tc>
          <w:tcPr>
            <w:tcW w:w="1350" w:type="dxa"/>
          </w:tcPr>
          <w:p w14:paraId="5ED3B3DE" w14:textId="76BF8929" w:rsidR="00B06C59" w:rsidRDefault="00B06C59">
            <w:pPr>
              <w:contextualSpacing/>
              <w:jc w:val="right"/>
            </w:pPr>
            <w:r>
              <w:t>$</w:t>
            </w:r>
            <w:r w:rsidR="0064402E">
              <w:t>11,813</w:t>
            </w:r>
            <w:r>
              <w:t>.00</w:t>
            </w:r>
          </w:p>
        </w:tc>
        <w:tc>
          <w:tcPr>
            <w:tcW w:w="1350" w:type="dxa"/>
          </w:tcPr>
          <w:p w14:paraId="7AA83DFC" w14:textId="2CFDDDF6" w:rsidR="00B06C59" w:rsidRDefault="00B06C59">
            <w:pPr>
              <w:contextualSpacing/>
              <w:jc w:val="right"/>
            </w:pPr>
            <w:r>
              <w:t>$</w:t>
            </w:r>
            <w:r w:rsidR="0064402E">
              <w:t>15,188</w:t>
            </w:r>
            <w:r>
              <w:t>.00</w:t>
            </w:r>
          </w:p>
        </w:tc>
      </w:tr>
      <w:tr w:rsidR="00B06C59" w14:paraId="3A3EB82A" w14:textId="77777777" w:rsidTr="00B06C59">
        <w:tc>
          <w:tcPr>
            <w:tcW w:w="1260" w:type="dxa"/>
          </w:tcPr>
          <w:p w14:paraId="0CBB8758" w14:textId="77777777" w:rsidR="00B06C59" w:rsidRDefault="00B06C59" w:rsidP="00B06C59">
            <w:pPr>
              <w:contextualSpacing/>
              <w:jc w:val="center"/>
            </w:pPr>
            <w:r>
              <w:t>1 ½”</w:t>
            </w:r>
          </w:p>
        </w:tc>
        <w:tc>
          <w:tcPr>
            <w:tcW w:w="1710" w:type="dxa"/>
          </w:tcPr>
          <w:p w14:paraId="1143F138" w14:textId="77777777" w:rsidR="00B06C59" w:rsidRDefault="00B06C59" w:rsidP="00B06C59">
            <w:pPr>
              <w:contextualSpacing/>
              <w:jc w:val="center"/>
            </w:pPr>
            <w:r>
              <w:t>100</w:t>
            </w:r>
          </w:p>
        </w:tc>
        <w:tc>
          <w:tcPr>
            <w:tcW w:w="1890" w:type="dxa"/>
          </w:tcPr>
          <w:p w14:paraId="7689B84C" w14:textId="77777777" w:rsidR="00B06C59" w:rsidRDefault="00B06C59" w:rsidP="00B06C59">
            <w:pPr>
              <w:contextualSpacing/>
              <w:jc w:val="right"/>
            </w:pPr>
            <w:r>
              <w:t>32,000 / 72,000</w:t>
            </w:r>
          </w:p>
        </w:tc>
        <w:tc>
          <w:tcPr>
            <w:tcW w:w="1350" w:type="dxa"/>
          </w:tcPr>
          <w:p w14:paraId="1C703C57" w14:textId="2238E7C8" w:rsidR="00B06C59" w:rsidRDefault="00B06C59">
            <w:pPr>
              <w:contextualSpacing/>
              <w:jc w:val="right"/>
            </w:pPr>
            <w:r>
              <w:t>$21,</w:t>
            </w:r>
            <w:r w:rsidR="0064402E">
              <w:t>263</w:t>
            </w:r>
            <w:r>
              <w:t>.00</w:t>
            </w:r>
          </w:p>
        </w:tc>
        <w:tc>
          <w:tcPr>
            <w:tcW w:w="1350" w:type="dxa"/>
          </w:tcPr>
          <w:p w14:paraId="18C78B7B" w14:textId="7C20AD15" w:rsidR="00B06C59" w:rsidRDefault="00B06C59">
            <w:pPr>
              <w:contextualSpacing/>
              <w:jc w:val="right"/>
            </w:pPr>
            <w:r>
              <w:t>$27,</w:t>
            </w:r>
            <w:r w:rsidR="0064402E">
              <w:t>338</w:t>
            </w:r>
            <w:r>
              <w:t>.00</w:t>
            </w:r>
          </w:p>
        </w:tc>
      </w:tr>
      <w:tr w:rsidR="00B06C59" w14:paraId="3F1184AB" w14:textId="77777777" w:rsidTr="00B06C59">
        <w:tc>
          <w:tcPr>
            <w:tcW w:w="1260" w:type="dxa"/>
          </w:tcPr>
          <w:p w14:paraId="132BEBDE" w14:textId="77777777" w:rsidR="00B06C59" w:rsidRDefault="00B06C59" w:rsidP="00B06C59">
            <w:pPr>
              <w:contextualSpacing/>
              <w:jc w:val="center"/>
            </w:pPr>
            <w:r>
              <w:t>2”</w:t>
            </w:r>
          </w:p>
        </w:tc>
        <w:tc>
          <w:tcPr>
            <w:tcW w:w="1710" w:type="dxa"/>
          </w:tcPr>
          <w:p w14:paraId="17045780" w14:textId="77777777" w:rsidR="00B06C59" w:rsidRDefault="00B06C59" w:rsidP="00B06C59">
            <w:pPr>
              <w:contextualSpacing/>
              <w:jc w:val="center"/>
            </w:pPr>
            <w:r>
              <w:t>160</w:t>
            </w:r>
          </w:p>
        </w:tc>
        <w:tc>
          <w:tcPr>
            <w:tcW w:w="1890" w:type="dxa"/>
          </w:tcPr>
          <w:p w14:paraId="1C9D97A7" w14:textId="77777777" w:rsidR="00B06C59" w:rsidRDefault="00B06C59" w:rsidP="00B06C59">
            <w:pPr>
              <w:contextualSpacing/>
              <w:jc w:val="right"/>
            </w:pPr>
            <w:r>
              <w:t>72,000 / 116,000</w:t>
            </w:r>
          </w:p>
        </w:tc>
        <w:tc>
          <w:tcPr>
            <w:tcW w:w="1350" w:type="dxa"/>
          </w:tcPr>
          <w:p w14:paraId="64CFA673" w14:textId="0C9CFF22" w:rsidR="00B06C59" w:rsidRDefault="00B06C59">
            <w:pPr>
              <w:contextualSpacing/>
              <w:jc w:val="right"/>
            </w:pPr>
            <w:r>
              <w:t>$3</w:t>
            </w:r>
            <w:r w:rsidR="0064402E">
              <w:t>0,618</w:t>
            </w:r>
            <w:r>
              <w:t>.00</w:t>
            </w:r>
          </w:p>
        </w:tc>
        <w:tc>
          <w:tcPr>
            <w:tcW w:w="1350" w:type="dxa"/>
          </w:tcPr>
          <w:p w14:paraId="0D31803E" w14:textId="7DF4829B" w:rsidR="00B06C59" w:rsidRDefault="00B06C59">
            <w:pPr>
              <w:contextualSpacing/>
              <w:jc w:val="right"/>
            </w:pPr>
            <w:r>
              <w:t>$</w:t>
            </w:r>
            <w:r w:rsidR="0064402E">
              <w:t>39,366</w:t>
            </w:r>
            <w:r>
              <w:t>.00</w:t>
            </w:r>
          </w:p>
        </w:tc>
      </w:tr>
      <w:tr w:rsidR="00B06C59" w14:paraId="4B1F23FE" w14:textId="77777777" w:rsidTr="00B06C59">
        <w:tc>
          <w:tcPr>
            <w:tcW w:w="1260" w:type="dxa"/>
          </w:tcPr>
          <w:p w14:paraId="1E1B6C2A" w14:textId="77777777" w:rsidR="00B06C59" w:rsidRDefault="00B06C59" w:rsidP="00B06C59">
            <w:pPr>
              <w:contextualSpacing/>
              <w:jc w:val="center"/>
            </w:pPr>
            <w:r>
              <w:t>3”</w:t>
            </w:r>
          </w:p>
        </w:tc>
        <w:tc>
          <w:tcPr>
            <w:tcW w:w="1710" w:type="dxa"/>
          </w:tcPr>
          <w:p w14:paraId="1D114B25" w14:textId="77777777" w:rsidR="00B06C59" w:rsidRDefault="00B06C59" w:rsidP="00B06C59">
            <w:pPr>
              <w:contextualSpacing/>
              <w:jc w:val="center"/>
            </w:pPr>
            <w:r>
              <w:t>450</w:t>
            </w:r>
          </w:p>
        </w:tc>
        <w:tc>
          <w:tcPr>
            <w:tcW w:w="1890" w:type="dxa"/>
          </w:tcPr>
          <w:p w14:paraId="3B7C93A6" w14:textId="77777777" w:rsidR="00B06C59" w:rsidRDefault="00B06C59" w:rsidP="00B06C59">
            <w:pPr>
              <w:contextualSpacing/>
              <w:jc w:val="right"/>
            </w:pPr>
            <w:r>
              <w:t>116,000 / 204,000</w:t>
            </w:r>
          </w:p>
        </w:tc>
        <w:tc>
          <w:tcPr>
            <w:tcW w:w="1350" w:type="dxa"/>
          </w:tcPr>
          <w:p w14:paraId="35390C8A" w14:textId="28436A8C" w:rsidR="00B06C59" w:rsidRDefault="00B06C59">
            <w:pPr>
              <w:contextualSpacing/>
              <w:jc w:val="right"/>
            </w:pPr>
            <w:r>
              <w:t>$</w:t>
            </w:r>
            <w:r w:rsidR="0064402E">
              <w:t>77,502</w:t>
            </w:r>
            <w:r>
              <w:t>.00</w:t>
            </w:r>
          </w:p>
        </w:tc>
        <w:tc>
          <w:tcPr>
            <w:tcW w:w="1350" w:type="dxa"/>
          </w:tcPr>
          <w:p w14:paraId="68A2DDAD" w14:textId="3D5B489D" w:rsidR="00B06C59" w:rsidRDefault="00B06C59">
            <w:pPr>
              <w:contextualSpacing/>
              <w:jc w:val="right"/>
            </w:pPr>
            <w:r>
              <w:t>$</w:t>
            </w:r>
            <w:r w:rsidR="0064402E">
              <w:t>99,645</w:t>
            </w:r>
            <w:r>
              <w:t>.00</w:t>
            </w:r>
          </w:p>
        </w:tc>
      </w:tr>
      <w:tr w:rsidR="00B06C59" w14:paraId="7001FA4A" w14:textId="77777777" w:rsidTr="00B06C59">
        <w:tc>
          <w:tcPr>
            <w:tcW w:w="1260" w:type="dxa"/>
          </w:tcPr>
          <w:p w14:paraId="04B4A191" w14:textId="77777777" w:rsidR="00B06C59" w:rsidRDefault="00B06C59" w:rsidP="00B06C59">
            <w:pPr>
              <w:contextualSpacing/>
              <w:jc w:val="center"/>
            </w:pPr>
            <w:r>
              <w:t>4”</w:t>
            </w:r>
          </w:p>
        </w:tc>
        <w:tc>
          <w:tcPr>
            <w:tcW w:w="1710" w:type="dxa"/>
          </w:tcPr>
          <w:p w14:paraId="20A6E66F" w14:textId="77777777" w:rsidR="00B06C59" w:rsidRDefault="00B06C59" w:rsidP="00B06C59">
            <w:pPr>
              <w:contextualSpacing/>
              <w:jc w:val="center"/>
            </w:pPr>
            <w:r>
              <w:t>1,000</w:t>
            </w:r>
          </w:p>
        </w:tc>
        <w:tc>
          <w:tcPr>
            <w:tcW w:w="1890" w:type="dxa"/>
          </w:tcPr>
          <w:p w14:paraId="3DE2F0FD" w14:textId="77777777" w:rsidR="00B06C59" w:rsidRDefault="00B06C59" w:rsidP="00B06C59">
            <w:pPr>
              <w:contextualSpacing/>
              <w:jc w:val="right"/>
            </w:pPr>
            <w:r>
              <w:t>204,000 / 348,000</w:t>
            </w:r>
          </w:p>
        </w:tc>
        <w:tc>
          <w:tcPr>
            <w:tcW w:w="1350" w:type="dxa"/>
          </w:tcPr>
          <w:p w14:paraId="4643EA62" w14:textId="71FD7B02" w:rsidR="00B06C59" w:rsidRDefault="00B06C59">
            <w:pPr>
              <w:contextualSpacing/>
              <w:jc w:val="right"/>
            </w:pPr>
            <w:r>
              <w:t>$1</w:t>
            </w:r>
            <w:r w:rsidR="0064402E">
              <w:t>55,004</w:t>
            </w:r>
            <w:r>
              <w:t>.00</w:t>
            </w:r>
          </w:p>
        </w:tc>
        <w:tc>
          <w:tcPr>
            <w:tcW w:w="1350" w:type="dxa"/>
          </w:tcPr>
          <w:p w14:paraId="36838E97" w14:textId="246502F9" w:rsidR="00B06C59" w:rsidRDefault="00B06C59">
            <w:pPr>
              <w:contextualSpacing/>
              <w:jc w:val="right"/>
            </w:pPr>
            <w:r>
              <w:t>$1</w:t>
            </w:r>
            <w:r w:rsidR="0064402E">
              <w:t>99,290</w:t>
            </w:r>
            <w:r>
              <w:t>.00</w:t>
            </w:r>
          </w:p>
        </w:tc>
      </w:tr>
      <w:tr w:rsidR="00B06C59" w14:paraId="70028698" w14:textId="77777777" w:rsidTr="00B06C59">
        <w:tc>
          <w:tcPr>
            <w:tcW w:w="1260" w:type="dxa"/>
          </w:tcPr>
          <w:p w14:paraId="16EBD502" w14:textId="77777777" w:rsidR="00B06C59" w:rsidRDefault="00B06C59" w:rsidP="00B06C59">
            <w:pPr>
              <w:contextualSpacing/>
              <w:jc w:val="center"/>
            </w:pPr>
            <w:r>
              <w:t>6”</w:t>
            </w:r>
          </w:p>
        </w:tc>
        <w:tc>
          <w:tcPr>
            <w:tcW w:w="1710" w:type="dxa"/>
          </w:tcPr>
          <w:p w14:paraId="70576565" w14:textId="77777777" w:rsidR="00B06C59" w:rsidRDefault="00B06C59" w:rsidP="00B06C59">
            <w:pPr>
              <w:contextualSpacing/>
              <w:jc w:val="center"/>
            </w:pPr>
            <w:r>
              <w:t>2,000</w:t>
            </w:r>
          </w:p>
        </w:tc>
        <w:tc>
          <w:tcPr>
            <w:tcW w:w="1890" w:type="dxa"/>
          </w:tcPr>
          <w:p w14:paraId="63D9D252" w14:textId="77777777" w:rsidR="00B06C59" w:rsidRDefault="00B06C59" w:rsidP="00B06C59">
            <w:pPr>
              <w:contextualSpacing/>
              <w:jc w:val="right"/>
            </w:pPr>
            <w:r>
              <w:t>348,000 / 540,000</w:t>
            </w:r>
          </w:p>
        </w:tc>
        <w:tc>
          <w:tcPr>
            <w:tcW w:w="1350" w:type="dxa"/>
          </w:tcPr>
          <w:p w14:paraId="36666CBB" w14:textId="522FDF0D" w:rsidR="00B06C59" w:rsidRDefault="00B06C59">
            <w:pPr>
              <w:contextualSpacing/>
              <w:jc w:val="right"/>
            </w:pPr>
            <w:r>
              <w:t>$2</w:t>
            </w:r>
            <w:r w:rsidR="0064402E">
              <w:t>79,007</w:t>
            </w:r>
            <w:r>
              <w:t>.00</w:t>
            </w:r>
          </w:p>
        </w:tc>
        <w:tc>
          <w:tcPr>
            <w:tcW w:w="1350" w:type="dxa"/>
          </w:tcPr>
          <w:p w14:paraId="12660CB7" w14:textId="118CD256" w:rsidR="00B06C59" w:rsidRDefault="00B06C59">
            <w:pPr>
              <w:contextualSpacing/>
              <w:jc w:val="right"/>
            </w:pPr>
            <w:r>
              <w:t>$3</w:t>
            </w:r>
            <w:r w:rsidR="0064402E">
              <w:t>58,723</w:t>
            </w:r>
            <w:r>
              <w:t>.00</w:t>
            </w:r>
          </w:p>
        </w:tc>
      </w:tr>
    </w:tbl>
    <w:p w14:paraId="2BF26550" w14:textId="77777777" w:rsidR="00093E04" w:rsidRDefault="00B06C59" w:rsidP="00093E04">
      <w:pPr>
        <w:spacing w:line="240" w:lineRule="auto"/>
        <w:contextualSpacing/>
      </w:pPr>
      <w:r>
        <w:tab/>
      </w:r>
      <w:r>
        <w:tab/>
        <w:t>Louisa County Water Authority will negotiate and set rates for all meters over 6”.</w:t>
      </w:r>
    </w:p>
    <w:p w14:paraId="0D257DB7" w14:textId="77777777" w:rsidR="00B06C59" w:rsidRDefault="00B06C59" w:rsidP="00093E04">
      <w:pPr>
        <w:spacing w:line="240" w:lineRule="auto"/>
        <w:contextualSpacing/>
      </w:pPr>
    </w:p>
    <w:p w14:paraId="72548C2D" w14:textId="626DF433" w:rsidR="00B06C59" w:rsidRDefault="00B06C59" w:rsidP="005A3E90">
      <w:pPr>
        <w:spacing w:line="240" w:lineRule="auto"/>
        <w:ind w:left="1440"/>
        <w:contextualSpacing/>
      </w:pPr>
      <w:r>
        <w:t xml:space="preserve">*Estimated monthly consumption must be agreed to by the Louisa County Water Authority and </w:t>
      </w:r>
      <w:r w:rsidR="00BE2903">
        <w:t xml:space="preserve">is </w:t>
      </w:r>
      <w:r>
        <w:t xml:space="preserve">subject to adjustment </w:t>
      </w:r>
      <w:r w:rsidR="00BE2903">
        <w:t xml:space="preserve">based on </w:t>
      </w:r>
      <w:r>
        <w:t xml:space="preserve">actual use.  </w:t>
      </w:r>
      <w:r w:rsidR="0064402E">
        <w:t>Connection</w:t>
      </w:r>
      <w:r>
        <w:t xml:space="preserve"> Fees are to be determined by gallons per month requested regardless of the meter size.</w:t>
      </w:r>
    </w:p>
    <w:p w14:paraId="30928B1E" w14:textId="77777777" w:rsidR="00D8749B" w:rsidRDefault="00D8749B" w:rsidP="00093E04">
      <w:pPr>
        <w:spacing w:line="240" w:lineRule="auto"/>
        <w:contextualSpacing/>
      </w:pPr>
    </w:p>
    <w:p w14:paraId="00EFBF9D" w14:textId="7DCD60E9" w:rsidR="00D8749B" w:rsidRDefault="005325AF" w:rsidP="005325AF">
      <w:pPr>
        <w:spacing w:line="240" w:lineRule="auto"/>
        <w:ind w:left="1440" w:hanging="1440"/>
        <w:contextualSpacing/>
      </w:pPr>
      <w:r>
        <w:tab/>
      </w:r>
      <w:r w:rsidR="00D8749B" w:rsidRPr="00D93338">
        <w:rPr>
          <w:u w:val="single"/>
        </w:rPr>
        <w:t xml:space="preserve">Up-sizing of meters to actual </w:t>
      </w:r>
      <w:r w:rsidR="00C84777" w:rsidRPr="00D93338">
        <w:rPr>
          <w:u w:val="single"/>
        </w:rPr>
        <w:t>use</w:t>
      </w:r>
      <w:r w:rsidR="00C84777">
        <w:t>:  W</w:t>
      </w:r>
      <w:r w:rsidR="00D8749B">
        <w:t>hen it is determi</w:t>
      </w:r>
      <w:r>
        <w:t>ned, through an average annual l</w:t>
      </w:r>
      <w:r w:rsidR="00D8749B">
        <w:t>ook back period</w:t>
      </w:r>
      <w:r w:rsidR="00BE2903">
        <w:t>,</w:t>
      </w:r>
      <w:r w:rsidR="00D8749B">
        <w:t xml:space="preserve"> that a commercial or industrial user i</w:t>
      </w:r>
      <w:r>
        <w:t xml:space="preserve">s using beyond their purchased </w:t>
      </w:r>
      <w:r w:rsidR="00D8749B">
        <w:t>monthly capacity</w:t>
      </w:r>
      <w:r>
        <w:t xml:space="preserve"> </w:t>
      </w:r>
      <w:r w:rsidRPr="00D426BD">
        <w:rPr>
          <w:color w:val="000000" w:themeColor="text1"/>
        </w:rPr>
        <w:t>(prior twelve month average usage greater than the higher capacity and at least nine months over that capacity)</w:t>
      </w:r>
      <w:r w:rsidR="00D8749B">
        <w:t xml:space="preserve">; a letter will be sent to the customer offering an opportunity to purchase a higher level of capacity less any previously paid </w:t>
      </w:r>
      <w:r w:rsidR="0005331E">
        <w:t>Connection</w:t>
      </w:r>
      <w:r w:rsidR="00D8749B">
        <w:t xml:space="preserve"> Fees.  The customer also has the option to reduce consumption to their current purchased monthly capacity. The reduction to the original purchased capacity must be completed within three months or the up-sized meter </w:t>
      </w:r>
      <w:r w:rsidR="0005331E">
        <w:t>Connection</w:t>
      </w:r>
      <w:r w:rsidR="00D8749B">
        <w:t xml:space="preserve"> fees will be due.</w:t>
      </w:r>
    </w:p>
    <w:p w14:paraId="0896A8FB" w14:textId="77777777" w:rsidR="00C84777" w:rsidRDefault="00C84777" w:rsidP="005325AF">
      <w:pPr>
        <w:spacing w:line="240" w:lineRule="auto"/>
        <w:ind w:left="1440" w:hanging="1440"/>
        <w:contextualSpacing/>
      </w:pPr>
    </w:p>
    <w:p w14:paraId="16DD487B" w14:textId="2B081306" w:rsidR="00C84777" w:rsidRDefault="002154A3" w:rsidP="005325AF">
      <w:pPr>
        <w:spacing w:line="240" w:lineRule="auto"/>
        <w:ind w:left="1440" w:hanging="1440"/>
        <w:contextualSpacing/>
      </w:pPr>
      <w:r>
        <w:tab/>
      </w:r>
      <w:r w:rsidR="00C84777" w:rsidRPr="00D93338">
        <w:rPr>
          <w:u w:val="single"/>
        </w:rPr>
        <w:t>Reduction of meter size to actual use</w:t>
      </w:r>
      <w:r w:rsidR="00C84777">
        <w:t>:  If a commercial</w:t>
      </w:r>
      <w:r>
        <w:t xml:space="preserve"> or industrial customer pays a </w:t>
      </w:r>
      <w:r w:rsidR="0005331E">
        <w:t xml:space="preserve">Connection </w:t>
      </w:r>
      <w:r w:rsidR="00C84777">
        <w:t xml:space="preserve">Fee for a capacity range and </w:t>
      </w:r>
      <w:r w:rsidR="00C84777" w:rsidRPr="00D426BD">
        <w:rPr>
          <w:color w:val="000000" w:themeColor="text1"/>
        </w:rPr>
        <w:t>over</w:t>
      </w:r>
      <w:r w:rsidRPr="00D426BD">
        <w:rPr>
          <w:color w:val="000000" w:themeColor="text1"/>
        </w:rPr>
        <w:t xml:space="preserve"> </w:t>
      </w:r>
      <w:r w:rsidR="00C84777" w:rsidRPr="00D426BD">
        <w:rPr>
          <w:color w:val="000000" w:themeColor="text1"/>
        </w:rPr>
        <w:t>time</w:t>
      </w:r>
      <w:r w:rsidRPr="00D426BD">
        <w:rPr>
          <w:color w:val="000000" w:themeColor="text1"/>
        </w:rPr>
        <w:t>,</w:t>
      </w:r>
      <w:r w:rsidR="00C84777">
        <w:t xml:space="preserve"> due to conservation efforts or a decline</w:t>
      </w:r>
      <w:r>
        <w:t xml:space="preserve"> in </w:t>
      </w:r>
      <w:r w:rsidR="00C84777">
        <w:t>business activities</w:t>
      </w:r>
      <w:r w:rsidRPr="00D426BD">
        <w:rPr>
          <w:color w:val="000000" w:themeColor="text1"/>
        </w:rPr>
        <w:t>,</w:t>
      </w:r>
      <w:r w:rsidR="00C84777" w:rsidRPr="00D426BD">
        <w:rPr>
          <w:color w:val="000000" w:themeColor="text1"/>
        </w:rPr>
        <w:t xml:space="preserve"> f</w:t>
      </w:r>
      <w:r w:rsidR="00C84777">
        <w:t>alls below the purchased capacity for an average annual look ba</w:t>
      </w:r>
      <w:r>
        <w:t xml:space="preserve">ck </w:t>
      </w:r>
      <w:r w:rsidR="00C84777">
        <w:t>period</w:t>
      </w:r>
      <w:r w:rsidR="00291031" w:rsidRPr="00291031">
        <w:t xml:space="preserve"> </w:t>
      </w:r>
      <w:r w:rsidR="00291031">
        <w:t xml:space="preserve">capacity </w:t>
      </w:r>
      <w:r w:rsidR="00291031" w:rsidRPr="00D426BD">
        <w:rPr>
          <w:color w:val="000000" w:themeColor="text1"/>
        </w:rPr>
        <w:t xml:space="preserve">(prior twelve month average </w:t>
      </w:r>
      <w:r w:rsidR="00291031" w:rsidRPr="00D426BD">
        <w:rPr>
          <w:color w:val="000000" w:themeColor="text1"/>
        </w:rPr>
        <w:lastRenderedPageBreak/>
        <w:t>usage less than the lower capacity and at least nine months under that capacity)</w:t>
      </w:r>
      <w:r w:rsidR="00C84777" w:rsidRPr="00D426BD">
        <w:rPr>
          <w:color w:val="000000" w:themeColor="text1"/>
        </w:rPr>
        <w:t xml:space="preserve">; </w:t>
      </w:r>
      <w:r w:rsidR="00C84777">
        <w:t xml:space="preserve">a cost </w:t>
      </w:r>
      <w:r>
        <w:t>s</w:t>
      </w:r>
      <w:r w:rsidR="00C84777">
        <w:t>aving opportunity exists for a reduction in ca</w:t>
      </w:r>
      <w:r>
        <w:t xml:space="preserve">pacity range and meter size.  </w:t>
      </w:r>
      <w:r w:rsidR="00C84777">
        <w:t xml:space="preserve">The cost reduction is applied in the monthly billing at </w:t>
      </w:r>
      <w:r>
        <w:t xml:space="preserve">a smaller meter size, but no </w:t>
      </w:r>
      <w:r w:rsidR="00C84777">
        <w:t xml:space="preserve">refunds of </w:t>
      </w:r>
      <w:r w:rsidR="0005331E">
        <w:t>Connection</w:t>
      </w:r>
      <w:r w:rsidR="00C84777">
        <w:t xml:space="preserve"> Fees will be given under any circumstances</w:t>
      </w:r>
      <w:r w:rsidR="00C84777" w:rsidRPr="00D426BD">
        <w:rPr>
          <w:color w:val="000000" w:themeColor="text1"/>
        </w:rPr>
        <w:t xml:space="preserve">.  </w:t>
      </w:r>
      <w:r w:rsidRPr="00D426BD">
        <w:rPr>
          <w:color w:val="000000" w:themeColor="text1"/>
        </w:rPr>
        <w:t>If</w:t>
      </w:r>
      <w:r w:rsidR="00C84777" w:rsidRPr="00D426BD">
        <w:rPr>
          <w:color w:val="000000" w:themeColor="text1"/>
        </w:rPr>
        <w:t xml:space="preserve"> capacity</w:t>
      </w:r>
      <w:r w:rsidR="00C84777">
        <w:t xml:space="preserve"> levels return</w:t>
      </w:r>
      <w:r w:rsidR="00C84777" w:rsidRPr="002154A3">
        <w:rPr>
          <w:color w:val="FF0000"/>
        </w:rPr>
        <w:t xml:space="preserve"> </w:t>
      </w:r>
      <w:r w:rsidRPr="00D426BD">
        <w:rPr>
          <w:color w:val="000000" w:themeColor="text1"/>
        </w:rPr>
        <w:t>to a higher</w:t>
      </w:r>
      <w:r w:rsidR="00C84777">
        <w:t xml:space="preserve"> capacity range the monthly billing will be adjusted accordingly. </w:t>
      </w:r>
    </w:p>
    <w:p w14:paraId="42324481" w14:textId="77777777" w:rsidR="00D93338" w:rsidRDefault="00D93338" w:rsidP="00093E04">
      <w:pPr>
        <w:spacing w:line="240" w:lineRule="auto"/>
        <w:contextualSpacing/>
      </w:pPr>
    </w:p>
    <w:p w14:paraId="1D7AD255" w14:textId="65380481" w:rsidR="0075221E" w:rsidRPr="0075221E" w:rsidRDefault="0075221E" w:rsidP="0075221E">
      <w:pPr>
        <w:spacing w:line="240" w:lineRule="auto"/>
        <w:ind w:left="1440"/>
        <w:contextualSpacing/>
        <w:rPr>
          <w:rFonts w:cs="Times New Roman"/>
        </w:rPr>
      </w:pPr>
      <w:r>
        <w:rPr>
          <w:u w:val="single"/>
        </w:rPr>
        <w:t>Irrigation Water Meter Policy</w:t>
      </w:r>
      <w:r>
        <w:t xml:space="preserve">:  </w:t>
      </w:r>
      <w:r w:rsidRPr="0075221E">
        <w:rPr>
          <w:rFonts w:cs="Times New Roman"/>
        </w:rPr>
        <w:t xml:space="preserve">Customers desiring an irrigation system supplied by public water have two options.  </w:t>
      </w:r>
      <w:r>
        <w:rPr>
          <w:rFonts w:cs="Times New Roman"/>
        </w:rPr>
        <w:t>1) R</w:t>
      </w:r>
      <w:r w:rsidRPr="0075221E">
        <w:rPr>
          <w:rFonts w:cs="Times New Roman"/>
        </w:rPr>
        <w:t xml:space="preserve">un the irrigation system off the main house meter, thereby incurring sewage charges, or </w:t>
      </w:r>
      <w:r>
        <w:rPr>
          <w:rFonts w:cs="Times New Roman"/>
        </w:rPr>
        <w:t xml:space="preserve">2) </w:t>
      </w:r>
      <w:r w:rsidRPr="0075221E">
        <w:rPr>
          <w:rFonts w:cs="Times New Roman"/>
        </w:rPr>
        <w:t xml:space="preserve"> install a separate meter, eliminating sewage charges, yet incurring additional connection charges.</w:t>
      </w:r>
    </w:p>
    <w:p w14:paraId="0BE3D15C" w14:textId="7DD28B74" w:rsidR="0075221E" w:rsidRDefault="0075221E" w:rsidP="0075221E">
      <w:pPr>
        <w:pStyle w:val="PlainText"/>
        <w:ind w:left="1440"/>
        <w:rPr>
          <w:rFonts w:asciiTheme="minorHAnsi" w:hAnsiTheme="minorHAnsi" w:cs="Times New Roman"/>
          <w:sz w:val="22"/>
          <w:szCs w:val="22"/>
        </w:rPr>
      </w:pPr>
      <w:r w:rsidRPr="0075221E">
        <w:rPr>
          <w:rFonts w:asciiTheme="minorHAnsi" w:hAnsiTheme="minorHAnsi" w:cs="Times New Roman"/>
          <w:sz w:val="22"/>
          <w:szCs w:val="22"/>
        </w:rPr>
        <w:t>The option of installing a separate meter, owned and maintained by LCWA</w:t>
      </w:r>
      <w:r w:rsidR="00B518CD">
        <w:rPr>
          <w:rFonts w:asciiTheme="minorHAnsi" w:hAnsiTheme="minorHAnsi" w:cs="Times New Roman"/>
          <w:sz w:val="22"/>
          <w:szCs w:val="22"/>
        </w:rPr>
        <w:t xml:space="preserve">, </w:t>
      </w:r>
      <w:r w:rsidRPr="0075221E">
        <w:rPr>
          <w:rFonts w:asciiTheme="minorHAnsi" w:hAnsiTheme="minorHAnsi" w:cs="Times New Roman"/>
          <w:sz w:val="22"/>
          <w:szCs w:val="22"/>
        </w:rPr>
        <w:t xml:space="preserve">allows </w:t>
      </w:r>
      <w:r w:rsidR="00B518CD">
        <w:rPr>
          <w:rFonts w:asciiTheme="minorHAnsi" w:hAnsiTheme="minorHAnsi" w:cs="Times New Roman"/>
          <w:sz w:val="22"/>
          <w:szCs w:val="22"/>
        </w:rPr>
        <w:t xml:space="preserve">our </w:t>
      </w:r>
      <w:r w:rsidRPr="0075221E">
        <w:rPr>
          <w:rFonts w:asciiTheme="minorHAnsi" w:hAnsiTheme="minorHAnsi" w:cs="Times New Roman"/>
          <w:sz w:val="22"/>
          <w:szCs w:val="22"/>
        </w:rPr>
        <w:t>staff to insure they are in proper working order.  Under sizing issues are eliminated</w:t>
      </w:r>
      <w:r w:rsidR="00AF2CFB">
        <w:rPr>
          <w:rFonts w:asciiTheme="minorHAnsi" w:hAnsiTheme="minorHAnsi" w:cs="Times New Roman"/>
          <w:sz w:val="22"/>
          <w:szCs w:val="22"/>
        </w:rPr>
        <w:t xml:space="preserve">  because </w:t>
      </w:r>
      <w:r w:rsidRPr="0075221E">
        <w:rPr>
          <w:rFonts w:asciiTheme="minorHAnsi" w:hAnsiTheme="minorHAnsi" w:cs="Times New Roman"/>
          <w:sz w:val="22"/>
          <w:szCs w:val="22"/>
        </w:rPr>
        <w:t xml:space="preserve">flow demands are used to determine proper sizing, without respect to indoor demand.  </w:t>
      </w:r>
      <w:r w:rsidR="00AF2CFB">
        <w:rPr>
          <w:rFonts w:asciiTheme="minorHAnsi" w:hAnsiTheme="minorHAnsi" w:cs="Times New Roman"/>
          <w:sz w:val="22"/>
          <w:szCs w:val="22"/>
        </w:rPr>
        <w:t xml:space="preserve">Separate meters </w:t>
      </w:r>
      <w:r w:rsidRPr="0075221E">
        <w:rPr>
          <w:rFonts w:asciiTheme="minorHAnsi" w:hAnsiTheme="minorHAnsi" w:cs="Times New Roman"/>
          <w:sz w:val="22"/>
          <w:szCs w:val="22"/>
        </w:rPr>
        <w:t xml:space="preserve">more accurately reflect the demand </w:t>
      </w:r>
      <w:r w:rsidR="00230B96">
        <w:rPr>
          <w:rFonts w:asciiTheme="minorHAnsi" w:hAnsiTheme="minorHAnsi" w:cs="Times New Roman"/>
          <w:sz w:val="22"/>
          <w:szCs w:val="22"/>
        </w:rPr>
        <w:t xml:space="preserve">being placed </w:t>
      </w:r>
      <w:r w:rsidRPr="0075221E">
        <w:rPr>
          <w:rFonts w:asciiTheme="minorHAnsi" w:hAnsiTheme="minorHAnsi" w:cs="Times New Roman"/>
          <w:sz w:val="22"/>
          <w:szCs w:val="22"/>
        </w:rPr>
        <w:t xml:space="preserve"> on the water supply, and </w:t>
      </w:r>
      <w:r w:rsidR="00AF2CFB">
        <w:rPr>
          <w:rFonts w:asciiTheme="minorHAnsi" w:hAnsiTheme="minorHAnsi" w:cs="Times New Roman"/>
          <w:sz w:val="22"/>
          <w:szCs w:val="22"/>
        </w:rPr>
        <w:t>the required connection fees</w:t>
      </w:r>
      <w:r w:rsidR="00E412DC">
        <w:rPr>
          <w:rFonts w:asciiTheme="minorHAnsi" w:hAnsiTheme="minorHAnsi" w:cs="Times New Roman"/>
          <w:sz w:val="22"/>
          <w:szCs w:val="22"/>
        </w:rPr>
        <w:t xml:space="preserve"> </w:t>
      </w:r>
      <w:r w:rsidRPr="0075221E">
        <w:rPr>
          <w:rFonts w:asciiTheme="minorHAnsi" w:hAnsiTheme="minorHAnsi" w:cs="Times New Roman"/>
          <w:sz w:val="22"/>
          <w:szCs w:val="22"/>
        </w:rPr>
        <w:t xml:space="preserve">more appropriately recover the costs LCWA incurs </w:t>
      </w:r>
      <w:r w:rsidR="00230B96">
        <w:rPr>
          <w:rFonts w:asciiTheme="minorHAnsi" w:hAnsiTheme="minorHAnsi" w:cs="Times New Roman"/>
          <w:sz w:val="22"/>
          <w:szCs w:val="22"/>
        </w:rPr>
        <w:t>by</w:t>
      </w:r>
      <w:r w:rsidRPr="0075221E">
        <w:rPr>
          <w:rFonts w:asciiTheme="minorHAnsi" w:hAnsiTheme="minorHAnsi" w:cs="Times New Roman"/>
          <w:sz w:val="22"/>
          <w:szCs w:val="22"/>
        </w:rPr>
        <w:t xml:space="preserve"> allowing irrigation systems to come on-line.  Lastly,  separate meters allow for greater ease </w:t>
      </w:r>
      <w:r w:rsidR="00230B96">
        <w:rPr>
          <w:rFonts w:asciiTheme="minorHAnsi" w:hAnsiTheme="minorHAnsi" w:cs="Times New Roman"/>
          <w:sz w:val="22"/>
          <w:szCs w:val="22"/>
        </w:rPr>
        <w:t>of</w:t>
      </w:r>
      <w:r w:rsidRPr="0075221E">
        <w:rPr>
          <w:rFonts w:asciiTheme="minorHAnsi" w:hAnsiTheme="minorHAnsi" w:cs="Times New Roman"/>
          <w:sz w:val="22"/>
          <w:szCs w:val="22"/>
        </w:rPr>
        <w:t xml:space="preserve"> monitoring consumption, and provide opportunity for placing limitations or restrictions on the use of irrigation water and potentially for adjusting the charges for such usage.  </w:t>
      </w:r>
    </w:p>
    <w:p w14:paraId="3DE37F07" w14:textId="77777777" w:rsidR="0075221E" w:rsidRPr="0075221E" w:rsidRDefault="0075221E" w:rsidP="0075221E">
      <w:pPr>
        <w:pStyle w:val="PlainText"/>
        <w:ind w:left="1440"/>
        <w:rPr>
          <w:rFonts w:asciiTheme="minorHAnsi" w:hAnsiTheme="minorHAnsi" w:cs="Times New Roman"/>
          <w:sz w:val="22"/>
          <w:szCs w:val="22"/>
        </w:rPr>
      </w:pPr>
    </w:p>
    <w:p w14:paraId="5B8D09C1" w14:textId="52998812" w:rsidR="0075221E" w:rsidRDefault="0075221E" w:rsidP="0075221E">
      <w:pPr>
        <w:pStyle w:val="PlainText"/>
        <w:ind w:left="1440"/>
        <w:rPr>
          <w:rFonts w:asciiTheme="minorHAnsi" w:hAnsiTheme="minorHAnsi" w:cs="Times New Roman"/>
          <w:sz w:val="22"/>
          <w:szCs w:val="22"/>
        </w:rPr>
      </w:pPr>
      <w:r w:rsidRPr="0075221E">
        <w:rPr>
          <w:rFonts w:asciiTheme="minorHAnsi" w:hAnsiTheme="minorHAnsi" w:cs="Times New Roman"/>
          <w:sz w:val="22"/>
          <w:szCs w:val="22"/>
        </w:rPr>
        <w:t xml:space="preserve">Existing irrigation systems with a </w:t>
      </w:r>
      <w:r w:rsidR="00DD24A0" w:rsidRPr="0075221E">
        <w:rPr>
          <w:rFonts w:asciiTheme="minorHAnsi" w:hAnsiTheme="minorHAnsi" w:cs="Times New Roman"/>
          <w:sz w:val="22"/>
          <w:szCs w:val="22"/>
        </w:rPr>
        <w:t>5/8- or 3/4-inch</w:t>
      </w:r>
      <w:r w:rsidRPr="0075221E">
        <w:rPr>
          <w:rFonts w:asciiTheme="minorHAnsi" w:hAnsiTheme="minorHAnsi" w:cs="Times New Roman"/>
          <w:sz w:val="22"/>
          <w:szCs w:val="22"/>
        </w:rPr>
        <w:t xml:space="preserve"> meter are not, at this time, required to install a separate tap and meter</w:t>
      </w:r>
      <w:r w:rsidR="00230B96">
        <w:rPr>
          <w:rFonts w:asciiTheme="minorHAnsi" w:hAnsiTheme="minorHAnsi" w:cs="Times New Roman"/>
          <w:sz w:val="22"/>
          <w:szCs w:val="22"/>
        </w:rPr>
        <w:t xml:space="preserve">, </w:t>
      </w:r>
      <w:r w:rsidRPr="0075221E">
        <w:rPr>
          <w:rFonts w:asciiTheme="minorHAnsi" w:hAnsiTheme="minorHAnsi" w:cs="Times New Roman"/>
          <w:sz w:val="22"/>
          <w:szCs w:val="22"/>
        </w:rPr>
        <w:t xml:space="preserve"> however, </w:t>
      </w:r>
      <w:r w:rsidR="00230B96">
        <w:rPr>
          <w:rFonts w:asciiTheme="minorHAnsi" w:hAnsiTheme="minorHAnsi" w:cs="Times New Roman"/>
          <w:sz w:val="22"/>
          <w:szCs w:val="22"/>
        </w:rPr>
        <w:t xml:space="preserve">irrigation usage is </w:t>
      </w:r>
      <w:r w:rsidRPr="0075221E">
        <w:rPr>
          <w:rFonts w:asciiTheme="minorHAnsi" w:hAnsiTheme="minorHAnsi" w:cs="Times New Roman"/>
          <w:sz w:val="22"/>
          <w:szCs w:val="22"/>
        </w:rPr>
        <w:t xml:space="preserve">subject to review.  If upon review it is determined that the increased peak demand placed on a </w:t>
      </w:r>
      <w:r w:rsidR="00E468F6" w:rsidRPr="0075221E">
        <w:rPr>
          <w:rFonts w:asciiTheme="minorHAnsi" w:hAnsiTheme="minorHAnsi" w:cs="Times New Roman"/>
          <w:sz w:val="22"/>
          <w:szCs w:val="22"/>
        </w:rPr>
        <w:t>5/8- or 3/4-inch</w:t>
      </w:r>
      <w:r w:rsidR="0005331E">
        <w:rPr>
          <w:rFonts w:asciiTheme="minorHAnsi" w:hAnsiTheme="minorHAnsi" w:cs="Times New Roman"/>
          <w:sz w:val="22"/>
          <w:szCs w:val="22"/>
        </w:rPr>
        <w:t xml:space="preserve"> </w:t>
      </w:r>
      <w:r w:rsidR="00B518CD">
        <w:rPr>
          <w:rFonts w:asciiTheme="minorHAnsi" w:hAnsiTheme="minorHAnsi" w:cs="Times New Roman"/>
          <w:sz w:val="22"/>
          <w:szCs w:val="22"/>
        </w:rPr>
        <w:t xml:space="preserve">commercial </w:t>
      </w:r>
      <w:r w:rsidRPr="0075221E">
        <w:rPr>
          <w:rFonts w:asciiTheme="minorHAnsi" w:hAnsiTheme="minorHAnsi" w:cs="Times New Roman"/>
          <w:sz w:val="22"/>
          <w:szCs w:val="22"/>
        </w:rPr>
        <w:t xml:space="preserve">meter exceeds the normal operating limits of the main meter, then the customer will have to upgrade to a 1” main meter or install a separate irrigation meter.  </w:t>
      </w:r>
      <w:r w:rsidR="00230B96">
        <w:rPr>
          <w:rFonts w:asciiTheme="minorHAnsi" w:hAnsiTheme="minorHAnsi" w:cs="Times New Roman"/>
          <w:sz w:val="22"/>
          <w:szCs w:val="22"/>
        </w:rPr>
        <w:t>C</w:t>
      </w:r>
      <w:r w:rsidRPr="0075221E">
        <w:rPr>
          <w:rFonts w:asciiTheme="minorHAnsi" w:hAnsiTheme="minorHAnsi" w:cs="Times New Roman"/>
          <w:sz w:val="22"/>
          <w:szCs w:val="22"/>
        </w:rPr>
        <w:t>ustomer</w:t>
      </w:r>
      <w:r w:rsidR="00230B96">
        <w:rPr>
          <w:rFonts w:asciiTheme="minorHAnsi" w:hAnsiTheme="minorHAnsi" w:cs="Times New Roman"/>
          <w:sz w:val="22"/>
          <w:szCs w:val="22"/>
        </w:rPr>
        <w:t>s</w:t>
      </w:r>
      <w:r w:rsidRPr="0075221E">
        <w:rPr>
          <w:rFonts w:asciiTheme="minorHAnsi" w:hAnsiTheme="minorHAnsi" w:cs="Times New Roman"/>
          <w:sz w:val="22"/>
          <w:szCs w:val="22"/>
        </w:rPr>
        <w:t xml:space="preserve"> will be subject to the incremental cost increase associated with upgrading to a 1” meter or all fees associated with installing a second meter. </w:t>
      </w:r>
    </w:p>
    <w:p w14:paraId="4CBC25A0" w14:textId="77777777" w:rsidR="0075221E" w:rsidRPr="0075221E" w:rsidRDefault="0075221E" w:rsidP="0075221E">
      <w:pPr>
        <w:pStyle w:val="PlainText"/>
        <w:ind w:left="1440"/>
        <w:rPr>
          <w:rFonts w:asciiTheme="minorHAnsi" w:hAnsiTheme="minorHAnsi" w:cs="Times New Roman"/>
          <w:sz w:val="22"/>
          <w:szCs w:val="22"/>
        </w:rPr>
      </w:pPr>
    </w:p>
    <w:p w14:paraId="68FC5645" w14:textId="793F58DD" w:rsidR="0075221E" w:rsidRDefault="0075221E" w:rsidP="0075221E">
      <w:pPr>
        <w:pStyle w:val="PlainText"/>
        <w:ind w:left="1440"/>
        <w:rPr>
          <w:rFonts w:asciiTheme="minorHAnsi" w:hAnsiTheme="minorHAnsi" w:cs="Times New Roman"/>
          <w:sz w:val="22"/>
          <w:szCs w:val="22"/>
        </w:rPr>
      </w:pPr>
      <w:r w:rsidRPr="0075221E">
        <w:rPr>
          <w:rFonts w:asciiTheme="minorHAnsi" w:hAnsiTheme="minorHAnsi" w:cs="Times New Roman"/>
          <w:sz w:val="22"/>
          <w:szCs w:val="22"/>
        </w:rPr>
        <w:t xml:space="preserve">All systems currently running irrigation through the main house meter, consequently paying sewage charges may continue to do so, provided the main meter is not under sized.  It is recommended that if homeowners desire to avoid sewage charges, a separate tap and meter be </w:t>
      </w:r>
      <w:r w:rsidR="0005331E">
        <w:rPr>
          <w:rFonts w:asciiTheme="minorHAnsi" w:hAnsiTheme="minorHAnsi" w:cs="Times New Roman"/>
          <w:sz w:val="22"/>
          <w:szCs w:val="22"/>
        </w:rPr>
        <w:t>used</w:t>
      </w:r>
      <w:r w:rsidRPr="0075221E">
        <w:rPr>
          <w:rFonts w:asciiTheme="minorHAnsi" w:hAnsiTheme="minorHAnsi" w:cs="Times New Roman"/>
          <w:sz w:val="22"/>
          <w:szCs w:val="22"/>
        </w:rPr>
        <w:t>.</w:t>
      </w:r>
    </w:p>
    <w:p w14:paraId="33868B87" w14:textId="77777777" w:rsidR="0075221E" w:rsidRPr="0075221E" w:rsidRDefault="0075221E" w:rsidP="0075221E">
      <w:pPr>
        <w:pStyle w:val="PlainText"/>
        <w:ind w:left="1440"/>
        <w:rPr>
          <w:rFonts w:asciiTheme="minorHAnsi" w:hAnsiTheme="minorHAnsi" w:cs="Times New Roman"/>
          <w:sz w:val="22"/>
          <w:szCs w:val="22"/>
        </w:rPr>
      </w:pPr>
    </w:p>
    <w:p w14:paraId="4BA39A8D" w14:textId="77777777" w:rsidR="00D07D70" w:rsidRDefault="00D07D70" w:rsidP="0033100C">
      <w:pPr>
        <w:pStyle w:val="ListParagraph"/>
        <w:numPr>
          <w:ilvl w:val="0"/>
          <w:numId w:val="13"/>
        </w:numPr>
        <w:spacing w:line="240" w:lineRule="auto"/>
      </w:pPr>
      <w:r>
        <w:t>Hook-up Charges:</w:t>
      </w:r>
    </w:p>
    <w:p w14:paraId="5E6CEB43" w14:textId="77777777" w:rsidR="009A2CFF" w:rsidRDefault="00F12D74" w:rsidP="009F3B51">
      <w:pPr>
        <w:spacing w:line="240" w:lineRule="auto"/>
        <w:ind w:left="720"/>
      </w:pPr>
      <w:r>
        <w:t xml:space="preserve">All water and sewer hook-up charges are billed at actual cost of labor, meters, meter boxes or manholes as required, yokes, expanders, valves, corporation stops and all appurtenant items required for a complete water and/or sewer hoop-up.  The hook-up fee will consist of actual expenses and may vary according to conditions found at the site.  An estimate of hook-up charges will be provided upon request.  </w:t>
      </w:r>
    </w:p>
    <w:p w14:paraId="138A5397" w14:textId="77777777" w:rsidR="009A2CFF" w:rsidRDefault="00F87A90" w:rsidP="005A3E90">
      <w:pPr>
        <w:spacing w:line="240" w:lineRule="auto"/>
        <w:ind w:left="720"/>
        <w:contextualSpacing/>
      </w:pPr>
      <w:r>
        <w:t xml:space="preserve">C. </w:t>
      </w:r>
      <w:r w:rsidR="009A2CFF">
        <w:t xml:space="preserve">A deposit is required upon application for service on each account in </w:t>
      </w:r>
      <w:r w:rsidR="005A3E90">
        <w:t>the amount of $</w:t>
      </w:r>
      <w:r w:rsidR="00F12D74">
        <w:t>150.00</w:t>
      </w:r>
      <w:r w:rsidR="005A3E90">
        <w:t xml:space="preserve">. The </w:t>
      </w:r>
      <w:r w:rsidR="009A2CFF">
        <w:t xml:space="preserve">deposit is refunded without interest upon termination of service </w:t>
      </w:r>
      <w:r w:rsidR="005A3E90">
        <w:t xml:space="preserve">and payment in full of all </w:t>
      </w:r>
      <w:r w:rsidR="009A2CFF">
        <w:t xml:space="preserve">outstanding charges.  </w:t>
      </w:r>
    </w:p>
    <w:p w14:paraId="3CB59110" w14:textId="77777777" w:rsidR="009A2CFF" w:rsidRDefault="009A2CFF" w:rsidP="009A2CFF">
      <w:pPr>
        <w:spacing w:line="240" w:lineRule="auto"/>
        <w:contextualSpacing/>
      </w:pPr>
    </w:p>
    <w:p w14:paraId="1C8AD80C" w14:textId="77777777" w:rsidR="009A2CFF" w:rsidRDefault="009A2CFF" w:rsidP="005A3E90">
      <w:pPr>
        <w:spacing w:line="240" w:lineRule="auto"/>
        <w:ind w:left="720"/>
        <w:contextualSpacing/>
      </w:pPr>
      <w:r>
        <w:t xml:space="preserve">D.  An account establishment charge is required upon application for service in the amount of </w:t>
      </w:r>
      <w:r>
        <w:tab/>
        <w:t xml:space="preserve"> </w:t>
      </w:r>
      <w:r>
        <w:tab/>
        <w:t xml:space="preserve">      $10.00.</w:t>
      </w:r>
    </w:p>
    <w:p w14:paraId="158F17E8" w14:textId="77777777" w:rsidR="009F3B51" w:rsidRDefault="009F3B51" w:rsidP="00093E04">
      <w:pPr>
        <w:spacing w:line="240" w:lineRule="auto"/>
        <w:contextualSpacing/>
      </w:pPr>
    </w:p>
    <w:p w14:paraId="2D94E710" w14:textId="77777777" w:rsidR="00D93338" w:rsidRDefault="009A2CFF" w:rsidP="00093E04">
      <w:pPr>
        <w:spacing w:line="240" w:lineRule="auto"/>
        <w:contextualSpacing/>
      </w:pPr>
      <w:r>
        <w:t xml:space="preserve">II. </w:t>
      </w:r>
      <w:r w:rsidR="00D93338">
        <w:t xml:space="preserve">Water &amp; Sewer monthly </w:t>
      </w:r>
      <w:r>
        <w:t xml:space="preserve">user </w:t>
      </w:r>
      <w:r w:rsidR="00D93338">
        <w:t>rates</w:t>
      </w:r>
      <w:r w:rsidR="002D2B5F">
        <w:t xml:space="preserve"> and associated fees</w:t>
      </w:r>
      <w:r w:rsidR="00D93338">
        <w:t>:</w:t>
      </w:r>
    </w:p>
    <w:p w14:paraId="44712B1A" w14:textId="77777777" w:rsidR="00D93338" w:rsidRDefault="00D93338" w:rsidP="005A3E90">
      <w:pPr>
        <w:pStyle w:val="ListParagraph"/>
        <w:numPr>
          <w:ilvl w:val="0"/>
          <w:numId w:val="12"/>
        </w:numPr>
        <w:spacing w:line="240" w:lineRule="auto"/>
      </w:pPr>
      <w:r>
        <w:t>Residential water rate schedule:</w:t>
      </w:r>
    </w:p>
    <w:tbl>
      <w:tblPr>
        <w:tblStyle w:val="TableGrid"/>
        <w:tblW w:w="0" w:type="auto"/>
        <w:tblInd w:w="1818" w:type="dxa"/>
        <w:tblLook w:val="04A0" w:firstRow="1" w:lastRow="0" w:firstColumn="1" w:lastColumn="0" w:noHBand="0" w:noVBand="1"/>
      </w:tblPr>
      <w:tblGrid>
        <w:gridCol w:w="2430"/>
        <w:gridCol w:w="1440"/>
        <w:gridCol w:w="1440"/>
      </w:tblGrid>
      <w:tr w:rsidR="00D93338" w14:paraId="01065E41" w14:textId="77777777" w:rsidTr="00D93338">
        <w:tc>
          <w:tcPr>
            <w:tcW w:w="2430" w:type="dxa"/>
          </w:tcPr>
          <w:p w14:paraId="448F5990" w14:textId="77777777" w:rsidR="00D93338" w:rsidRDefault="00D93338" w:rsidP="00093E04">
            <w:pPr>
              <w:contextualSpacing/>
            </w:pPr>
            <w:r>
              <w:tab/>
            </w:r>
          </w:p>
        </w:tc>
        <w:tc>
          <w:tcPr>
            <w:tcW w:w="1440" w:type="dxa"/>
          </w:tcPr>
          <w:p w14:paraId="4A6BD057" w14:textId="77777777" w:rsidR="00D93338" w:rsidRDefault="00D93338" w:rsidP="00D93338">
            <w:pPr>
              <w:contextualSpacing/>
              <w:jc w:val="center"/>
            </w:pPr>
            <w:r>
              <w:t>WATER</w:t>
            </w:r>
          </w:p>
        </w:tc>
        <w:tc>
          <w:tcPr>
            <w:tcW w:w="1440" w:type="dxa"/>
          </w:tcPr>
          <w:p w14:paraId="25246A15" w14:textId="77777777" w:rsidR="00D93338" w:rsidRDefault="00D93338" w:rsidP="00D93338">
            <w:pPr>
              <w:contextualSpacing/>
              <w:jc w:val="center"/>
            </w:pPr>
            <w:r>
              <w:t>SEWER</w:t>
            </w:r>
          </w:p>
        </w:tc>
      </w:tr>
      <w:tr w:rsidR="00D93338" w14:paraId="162D6E45" w14:textId="77777777" w:rsidTr="00D93338">
        <w:tc>
          <w:tcPr>
            <w:tcW w:w="2430" w:type="dxa"/>
          </w:tcPr>
          <w:p w14:paraId="6C5AA70C" w14:textId="77777777" w:rsidR="00D93338" w:rsidRDefault="00D93338" w:rsidP="009F3B51">
            <w:pPr>
              <w:contextualSpacing/>
            </w:pPr>
            <w:r>
              <w:t xml:space="preserve">First </w:t>
            </w:r>
            <w:r w:rsidR="009F3B51">
              <w:t>3</w:t>
            </w:r>
            <w:r>
              <w:t>,000 gallons</w:t>
            </w:r>
          </w:p>
        </w:tc>
        <w:tc>
          <w:tcPr>
            <w:tcW w:w="1440" w:type="dxa"/>
          </w:tcPr>
          <w:p w14:paraId="6CC7637B" w14:textId="543278D5" w:rsidR="00D93338" w:rsidRPr="00490C3D" w:rsidRDefault="00D93338" w:rsidP="009F3B51">
            <w:pPr>
              <w:contextualSpacing/>
              <w:jc w:val="right"/>
              <w:rPr>
                <w:highlight w:val="yellow"/>
              </w:rPr>
            </w:pPr>
            <w:r w:rsidRPr="00490C3D">
              <w:rPr>
                <w:highlight w:val="yellow"/>
              </w:rPr>
              <w:t>$</w:t>
            </w:r>
            <w:r w:rsidR="009B45C7" w:rsidRPr="00490C3D">
              <w:rPr>
                <w:highlight w:val="yellow"/>
              </w:rPr>
              <w:t>27.75</w:t>
            </w:r>
          </w:p>
        </w:tc>
        <w:tc>
          <w:tcPr>
            <w:tcW w:w="1440" w:type="dxa"/>
          </w:tcPr>
          <w:p w14:paraId="38404F42" w14:textId="2971A35E" w:rsidR="00D93338" w:rsidRPr="00490C3D" w:rsidRDefault="00D93338" w:rsidP="00B749D9">
            <w:pPr>
              <w:contextualSpacing/>
              <w:jc w:val="right"/>
              <w:rPr>
                <w:highlight w:val="yellow"/>
              </w:rPr>
            </w:pPr>
            <w:r w:rsidRPr="00490C3D">
              <w:rPr>
                <w:highlight w:val="yellow"/>
              </w:rPr>
              <w:t>$</w:t>
            </w:r>
            <w:r w:rsidR="009B45C7" w:rsidRPr="00490C3D">
              <w:rPr>
                <w:highlight w:val="yellow"/>
              </w:rPr>
              <w:t>41.07</w:t>
            </w:r>
          </w:p>
        </w:tc>
      </w:tr>
      <w:tr w:rsidR="00D93338" w14:paraId="3D14E5C8" w14:textId="77777777" w:rsidTr="00D93338">
        <w:tc>
          <w:tcPr>
            <w:tcW w:w="2430" w:type="dxa"/>
          </w:tcPr>
          <w:p w14:paraId="67EC17FE" w14:textId="77777777" w:rsidR="00D93338" w:rsidRDefault="00D93338" w:rsidP="00602F83">
            <w:pPr>
              <w:contextualSpacing/>
            </w:pPr>
            <w:r>
              <w:t xml:space="preserve">All usage over </w:t>
            </w:r>
            <w:r w:rsidR="00602F83">
              <w:t>3</w:t>
            </w:r>
            <w:r>
              <w:t>,000</w:t>
            </w:r>
          </w:p>
        </w:tc>
        <w:tc>
          <w:tcPr>
            <w:tcW w:w="1440" w:type="dxa"/>
          </w:tcPr>
          <w:p w14:paraId="67615DB0" w14:textId="5643008C" w:rsidR="00D93338" w:rsidRPr="00490C3D" w:rsidRDefault="00D93338" w:rsidP="00D93338">
            <w:pPr>
              <w:contextualSpacing/>
              <w:jc w:val="right"/>
              <w:rPr>
                <w:highlight w:val="yellow"/>
              </w:rPr>
            </w:pPr>
            <w:r w:rsidRPr="00490C3D">
              <w:rPr>
                <w:highlight w:val="yellow"/>
              </w:rPr>
              <w:t>$</w:t>
            </w:r>
            <w:r w:rsidR="009B45C7" w:rsidRPr="00490C3D">
              <w:rPr>
                <w:highlight w:val="yellow"/>
              </w:rPr>
              <w:t>9.25</w:t>
            </w:r>
            <w:r w:rsidRPr="00490C3D">
              <w:rPr>
                <w:highlight w:val="yellow"/>
              </w:rPr>
              <w:t>/1,000</w:t>
            </w:r>
          </w:p>
        </w:tc>
        <w:tc>
          <w:tcPr>
            <w:tcW w:w="1440" w:type="dxa"/>
          </w:tcPr>
          <w:p w14:paraId="1D5410CA" w14:textId="4004A171" w:rsidR="00D93338" w:rsidRPr="00490C3D" w:rsidRDefault="00D93338" w:rsidP="00D93338">
            <w:pPr>
              <w:contextualSpacing/>
              <w:jc w:val="right"/>
              <w:rPr>
                <w:highlight w:val="yellow"/>
              </w:rPr>
            </w:pPr>
            <w:r w:rsidRPr="00490C3D">
              <w:rPr>
                <w:highlight w:val="yellow"/>
              </w:rPr>
              <w:t>$</w:t>
            </w:r>
            <w:r w:rsidR="00CF5459" w:rsidRPr="00490C3D">
              <w:rPr>
                <w:highlight w:val="yellow"/>
              </w:rPr>
              <w:t>1</w:t>
            </w:r>
            <w:r w:rsidR="009B45C7" w:rsidRPr="00490C3D">
              <w:rPr>
                <w:highlight w:val="yellow"/>
              </w:rPr>
              <w:t>3.69</w:t>
            </w:r>
            <w:r w:rsidRPr="00490C3D">
              <w:rPr>
                <w:highlight w:val="yellow"/>
              </w:rPr>
              <w:t>/1,000</w:t>
            </w:r>
          </w:p>
        </w:tc>
      </w:tr>
    </w:tbl>
    <w:p w14:paraId="65BFFFAC" w14:textId="77777777" w:rsidR="0047283D" w:rsidRDefault="0047283D" w:rsidP="00093E04">
      <w:pPr>
        <w:spacing w:line="240" w:lineRule="auto"/>
        <w:contextualSpacing/>
      </w:pPr>
    </w:p>
    <w:p w14:paraId="11C05768" w14:textId="77777777" w:rsidR="00D93338" w:rsidRDefault="009A2CFF" w:rsidP="00093E04">
      <w:pPr>
        <w:spacing w:line="240" w:lineRule="auto"/>
        <w:contextualSpacing/>
      </w:pPr>
      <w:r>
        <w:tab/>
        <w:t>B</w:t>
      </w:r>
      <w:r w:rsidR="00D93338">
        <w:t>.  Commercial &amp; Industrial rate schedule of minimum charges for</w:t>
      </w:r>
      <w:r w:rsidR="005A3E90">
        <w:t xml:space="preserve"> meter size per billing </w:t>
      </w:r>
      <w:r w:rsidR="00D93338">
        <w:t>period:</w:t>
      </w:r>
    </w:p>
    <w:p w14:paraId="1AE5F62B" w14:textId="77777777" w:rsidR="00D93338" w:rsidRDefault="00D93338" w:rsidP="00093E04">
      <w:pPr>
        <w:spacing w:line="240" w:lineRule="auto"/>
        <w:contextualSpacing/>
      </w:pPr>
    </w:p>
    <w:tbl>
      <w:tblPr>
        <w:tblStyle w:val="TableGrid"/>
        <w:tblW w:w="0" w:type="auto"/>
        <w:tblInd w:w="1098" w:type="dxa"/>
        <w:tblLook w:val="04A0" w:firstRow="1" w:lastRow="0" w:firstColumn="1" w:lastColumn="0" w:noHBand="0" w:noVBand="1"/>
      </w:tblPr>
      <w:tblGrid>
        <w:gridCol w:w="2430"/>
        <w:gridCol w:w="2070"/>
        <w:gridCol w:w="1620"/>
        <w:gridCol w:w="1440"/>
      </w:tblGrid>
      <w:tr w:rsidR="00D93338" w14:paraId="1997AD0C" w14:textId="77777777" w:rsidTr="009A2CFF">
        <w:tc>
          <w:tcPr>
            <w:tcW w:w="2430" w:type="dxa"/>
          </w:tcPr>
          <w:p w14:paraId="03218ABE" w14:textId="77777777" w:rsidR="00D93338" w:rsidRDefault="00DF0792" w:rsidP="00DF0792">
            <w:pPr>
              <w:contextualSpacing/>
              <w:jc w:val="center"/>
            </w:pPr>
            <w:r>
              <w:t>Meter Size</w:t>
            </w:r>
          </w:p>
        </w:tc>
        <w:tc>
          <w:tcPr>
            <w:tcW w:w="2070" w:type="dxa"/>
          </w:tcPr>
          <w:p w14:paraId="38D45A90" w14:textId="77777777" w:rsidR="00D93338" w:rsidRDefault="00DF0792" w:rsidP="00DF0792">
            <w:pPr>
              <w:contextualSpacing/>
              <w:jc w:val="center"/>
            </w:pPr>
            <w:r>
              <w:t>Gallons</w:t>
            </w:r>
          </w:p>
        </w:tc>
        <w:tc>
          <w:tcPr>
            <w:tcW w:w="1620" w:type="dxa"/>
          </w:tcPr>
          <w:p w14:paraId="45A3215A" w14:textId="77777777" w:rsidR="00D93338" w:rsidRDefault="00D93338" w:rsidP="00D93338">
            <w:pPr>
              <w:contextualSpacing/>
              <w:jc w:val="center"/>
            </w:pPr>
            <w:r>
              <w:t>WATER</w:t>
            </w:r>
          </w:p>
        </w:tc>
        <w:tc>
          <w:tcPr>
            <w:tcW w:w="1440" w:type="dxa"/>
          </w:tcPr>
          <w:p w14:paraId="1E435EC7" w14:textId="77777777" w:rsidR="00D93338" w:rsidRDefault="00D93338" w:rsidP="00D93338">
            <w:pPr>
              <w:contextualSpacing/>
              <w:jc w:val="center"/>
            </w:pPr>
            <w:r>
              <w:t>SEWER</w:t>
            </w:r>
          </w:p>
        </w:tc>
      </w:tr>
      <w:tr w:rsidR="00D93338" w14:paraId="6127EB93" w14:textId="77777777" w:rsidTr="009A2CFF">
        <w:tc>
          <w:tcPr>
            <w:tcW w:w="2430" w:type="dxa"/>
          </w:tcPr>
          <w:p w14:paraId="6AD6540A" w14:textId="0E4121BB" w:rsidR="00D93338" w:rsidRDefault="00DF0792">
            <w:pPr>
              <w:contextualSpacing/>
              <w:jc w:val="center"/>
            </w:pPr>
            <w:r>
              <w:t xml:space="preserve">3/4” </w:t>
            </w:r>
            <w:r w:rsidR="0005331E">
              <w:t xml:space="preserve">or </w:t>
            </w:r>
            <w:r>
              <w:t xml:space="preserve"> 5/8”</w:t>
            </w:r>
          </w:p>
        </w:tc>
        <w:tc>
          <w:tcPr>
            <w:tcW w:w="2070" w:type="dxa"/>
          </w:tcPr>
          <w:p w14:paraId="3B62E3B1" w14:textId="77777777" w:rsidR="00D93338" w:rsidRDefault="00DF0792" w:rsidP="00DF0792">
            <w:pPr>
              <w:contextualSpacing/>
              <w:jc w:val="right"/>
            </w:pPr>
            <w:r>
              <w:t>4,000 gallons</w:t>
            </w:r>
          </w:p>
        </w:tc>
        <w:tc>
          <w:tcPr>
            <w:tcW w:w="1620" w:type="dxa"/>
          </w:tcPr>
          <w:p w14:paraId="5BC5D20B" w14:textId="130613F4" w:rsidR="00D93338" w:rsidRPr="00490C3D" w:rsidRDefault="00DF0792" w:rsidP="00F12D74">
            <w:pPr>
              <w:contextualSpacing/>
              <w:jc w:val="right"/>
              <w:rPr>
                <w:highlight w:val="yellow"/>
              </w:rPr>
            </w:pPr>
            <w:r w:rsidRPr="00490C3D">
              <w:rPr>
                <w:highlight w:val="yellow"/>
              </w:rPr>
              <w:t>$</w:t>
            </w:r>
            <w:r w:rsidR="006A3759" w:rsidRPr="00490C3D">
              <w:rPr>
                <w:highlight w:val="yellow"/>
              </w:rPr>
              <w:t>37.00</w:t>
            </w:r>
          </w:p>
        </w:tc>
        <w:tc>
          <w:tcPr>
            <w:tcW w:w="1440" w:type="dxa"/>
          </w:tcPr>
          <w:p w14:paraId="4F17DA8B" w14:textId="761E839C" w:rsidR="002B5DD5" w:rsidRPr="00490C3D" w:rsidRDefault="004B74E5" w:rsidP="00F12D74">
            <w:pPr>
              <w:contextualSpacing/>
              <w:jc w:val="right"/>
              <w:rPr>
                <w:highlight w:val="yellow"/>
              </w:rPr>
            </w:pPr>
            <w:r w:rsidRPr="00490C3D">
              <w:rPr>
                <w:highlight w:val="yellow"/>
              </w:rPr>
              <w:t>$</w:t>
            </w:r>
            <w:r w:rsidR="006A3759" w:rsidRPr="00490C3D">
              <w:rPr>
                <w:highlight w:val="yellow"/>
              </w:rPr>
              <w:t>54.76</w:t>
            </w:r>
          </w:p>
        </w:tc>
      </w:tr>
      <w:tr w:rsidR="00D93338" w14:paraId="54650096" w14:textId="77777777" w:rsidTr="009A2CFF">
        <w:tc>
          <w:tcPr>
            <w:tcW w:w="2430" w:type="dxa"/>
          </w:tcPr>
          <w:p w14:paraId="53854184" w14:textId="77777777" w:rsidR="00D93338" w:rsidRDefault="00DF0792" w:rsidP="00DF0792">
            <w:pPr>
              <w:contextualSpacing/>
              <w:jc w:val="center"/>
            </w:pPr>
            <w:r>
              <w:lastRenderedPageBreak/>
              <w:t>1”</w:t>
            </w:r>
          </w:p>
        </w:tc>
        <w:tc>
          <w:tcPr>
            <w:tcW w:w="2070" w:type="dxa"/>
          </w:tcPr>
          <w:p w14:paraId="3A2F39FF" w14:textId="77777777" w:rsidR="00D93338" w:rsidRDefault="00DF0792" w:rsidP="00DF0792">
            <w:pPr>
              <w:contextualSpacing/>
              <w:jc w:val="right"/>
            </w:pPr>
            <w:r>
              <w:t>16,000 gallons</w:t>
            </w:r>
          </w:p>
        </w:tc>
        <w:tc>
          <w:tcPr>
            <w:tcW w:w="1620" w:type="dxa"/>
          </w:tcPr>
          <w:p w14:paraId="40D0CBB2" w14:textId="15FC3770" w:rsidR="00D93338" w:rsidRPr="00490C3D" w:rsidRDefault="00DF0792" w:rsidP="00F12D74">
            <w:pPr>
              <w:contextualSpacing/>
              <w:jc w:val="right"/>
              <w:rPr>
                <w:highlight w:val="yellow"/>
              </w:rPr>
            </w:pPr>
            <w:r w:rsidRPr="00490C3D">
              <w:rPr>
                <w:highlight w:val="yellow"/>
              </w:rPr>
              <w:t>$</w:t>
            </w:r>
            <w:r w:rsidR="00A10465" w:rsidRPr="00490C3D">
              <w:rPr>
                <w:highlight w:val="yellow"/>
              </w:rPr>
              <w:t>148.00</w:t>
            </w:r>
          </w:p>
        </w:tc>
        <w:tc>
          <w:tcPr>
            <w:tcW w:w="1440" w:type="dxa"/>
          </w:tcPr>
          <w:p w14:paraId="25234043" w14:textId="04874248" w:rsidR="00D93338" w:rsidRPr="00490C3D" w:rsidRDefault="00DF0792" w:rsidP="00F12D74">
            <w:pPr>
              <w:contextualSpacing/>
              <w:jc w:val="right"/>
              <w:rPr>
                <w:highlight w:val="yellow"/>
              </w:rPr>
            </w:pPr>
            <w:r w:rsidRPr="00490C3D">
              <w:rPr>
                <w:highlight w:val="yellow"/>
              </w:rPr>
              <w:t>$</w:t>
            </w:r>
            <w:r w:rsidR="00A10465" w:rsidRPr="00490C3D">
              <w:rPr>
                <w:highlight w:val="yellow"/>
              </w:rPr>
              <w:t>219.04</w:t>
            </w:r>
          </w:p>
        </w:tc>
      </w:tr>
      <w:tr w:rsidR="00D93338" w14:paraId="35161708" w14:textId="77777777" w:rsidTr="009A2CFF">
        <w:tc>
          <w:tcPr>
            <w:tcW w:w="2430" w:type="dxa"/>
          </w:tcPr>
          <w:p w14:paraId="41D467D0" w14:textId="77777777" w:rsidR="00D93338" w:rsidRDefault="00DF0792" w:rsidP="00DF0792">
            <w:pPr>
              <w:contextualSpacing/>
              <w:jc w:val="center"/>
            </w:pPr>
            <w:r>
              <w:t>1 ½”</w:t>
            </w:r>
          </w:p>
        </w:tc>
        <w:tc>
          <w:tcPr>
            <w:tcW w:w="2070" w:type="dxa"/>
          </w:tcPr>
          <w:p w14:paraId="0C9F70EE" w14:textId="77777777" w:rsidR="00D93338" w:rsidRDefault="00DF0792" w:rsidP="00DF0792">
            <w:pPr>
              <w:contextualSpacing/>
              <w:jc w:val="right"/>
            </w:pPr>
            <w:r>
              <w:t>32,000 gallons</w:t>
            </w:r>
          </w:p>
        </w:tc>
        <w:tc>
          <w:tcPr>
            <w:tcW w:w="1620" w:type="dxa"/>
          </w:tcPr>
          <w:p w14:paraId="5BBC102F" w14:textId="79721759" w:rsidR="00D93338" w:rsidRPr="00490C3D" w:rsidRDefault="00DF0792" w:rsidP="00F12D74">
            <w:pPr>
              <w:contextualSpacing/>
              <w:jc w:val="right"/>
              <w:rPr>
                <w:highlight w:val="yellow"/>
              </w:rPr>
            </w:pPr>
            <w:r w:rsidRPr="00490C3D">
              <w:rPr>
                <w:highlight w:val="yellow"/>
              </w:rPr>
              <w:t>$</w:t>
            </w:r>
            <w:r w:rsidR="002B5DD5" w:rsidRPr="00490C3D">
              <w:rPr>
                <w:highlight w:val="yellow"/>
              </w:rPr>
              <w:t>2</w:t>
            </w:r>
            <w:r w:rsidR="00A10465" w:rsidRPr="00490C3D">
              <w:rPr>
                <w:highlight w:val="yellow"/>
              </w:rPr>
              <w:t>96.00</w:t>
            </w:r>
          </w:p>
        </w:tc>
        <w:tc>
          <w:tcPr>
            <w:tcW w:w="1440" w:type="dxa"/>
          </w:tcPr>
          <w:p w14:paraId="58C5BDFA" w14:textId="15BDBDA3" w:rsidR="00D93338" w:rsidRPr="00490C3D" w:rsidRDefault="00DF0792" w:rsidP="00F12D74">
            <w:pPr>
              <w:contextualSpacing/>
              <w:jc w:val="right"/>
              <w:rPr>
                <w:highlight w:val="yellow"/>
              </w:rPr>
            </w:pPr>
            <w:r w:rsidRPr="00490C3D">
              <w:rPr>
                <w:highlight w:val="yellow"/>
              </w:rPr>
              <w:t>$</w:t>
            </w:r>
            <w:r w:rsidR="00A10465" w:rsidRPr="00490C3D">
              <w:rPr>
                <w:highlight w:val="yellow"/>
              </w:rPr>
              <w:t>438.08</w:t>
            </w:r>
          </w:p>
        </w:tc>
      </w:tr>
      <w:tr w:rsidR="00D93338" w14:paraId="1C80A5CA" w14:textId="77777777" w:rsidTr="009A2CFF">
        <w:tc>
          <w:tcPr>
            <w:tcW w:w="2430" w:type="dxa"/>
          </w:tcPr>
          <w:p w14:paraId="2B7E675F" w14:textId="77777777" w:rsidR="00D93338" w:rsidRDefault="00DF0792" w:rsidP="00DF0792">
            <w:pPr>
              <w:contextualSpacing/>
              <w:jc w:val="center"/>
            </w:pPr>
            <w:r>
              <w:t>2”</w:t>
            </w:r>
          </w:p>
        </w:tc>
        <w:tc>
          <w:tcPr>
            <w:tcW w:w="2070" w:type="dxa"/>
          </w:tcPr>
          <w:p w14:paraId="2B507CB5" w14:textId="77777777" w:rsidR="00D93338" w:rsidRDefault="00DF0792" w:rsidP="00DF0792">
            <w:pPr>
              <w:contextualSpacing/>
              <w:jc w:val="right"/>
            </w:pPr>
            <w:r>
              <w:t>72,000 gallons</w:t>
            </w:r>
          </w:p>
        </w:tc>
        <w:tc>
          <w:tcPr>
            <w:tcW w:w="1620" w:type="dxa"/>
          </w:tcPr>
          <w:p w14:paraId="49CCF363" w14:textId="043D0D60" w:rsidR="00D93338" w:rsidRPr="00490C3D" w:rsidRDefault="00DF0792" w:rsidP="00F12D74">
            <w:pPr>
              <w:contextualSpacing/>
              <w:jc w:val="right"/>
              <w:rPr>
                <w:highlight w:val="yellow"/>
              </w:rPr>
            </w:pPr>
            <w:r w:rsidRPr="00490C3D">
              <w:rPr>
                <w:highlight w:val="yellow"/>
              </w:rPr>
              <w:t>$</w:t>
            </w:r>
            <w:r w:rsidR="00A10465" w:rsidRPr="00490C3D">
              <w:rPr>
                <w:highlight w:val="yellow"/>
              </w:rPr>
              <w:t>666.00</w:t>
            </w:r>
          </w:p>
        </w:tc>
        <w:tc>
          <w:tcPr>
            <w:tcW w:w="1440" w:type="dxa"/>
          </w:tcPr>
          <w:p w14:paraId="56A1E951" w14:textId="21E090BA" w:rsidR="00D93338" w:rsidRPr="00490C3D" w:rsidRDefault="00DF0792" w:rsidP="00F12D74">
            <w:pPr>
              <w:contextualSpacing/>
              <w:jc w:val="right"/>
              <w:rPr>
                <w:highlight w:val="yellow"/>
              </w:rPr>
            </w:pPr>
            <w:r w:rsidRPr="00490C3D">
              <w:rPr>
                <w:highlight w:val="yellow"/>
              </w:rPr>
              <w:t>$</w:t>
            </w:r>
            <w:r w:rsidR="00A10465" w:rsidRPr="00490C3D">
              <w:rPr>
                <w:highlight w:val="yellow"/>
              </w:rPr>
              <w:t>985.68</w:t>
            </w:r>
          </w:p>
        </w:tc>
      </w:tr>
      <w:tr w:rsidR="00D93338" w14:paraId="109A66B7" w14:textId="77777777" w:rsidTr="009A2CFF">
        <w:tc>
          <w:tcPr>
            <w:tcW w:w="2430" w:type="dxa"/>
          </w:tcPr>
          <w:p w14:paraId="0E64F64D" w14:textId="77777777" w:rsidR="00D93338" w:rsidRDefault="00DF0792" w:rsidP="00DF0792">
            <w:pPr>
              <w:contextualSpacing/>
              <w:jc w:val="center"/>
            </w:pPr>
            <w:r>
              <w:t>3”</w:t>
            </w:r>
          </w:p>
        </w:tc>
        <w:tc>
          <w:tcPr>
            <w:tcW w:w="2070" w:type="dxa"/>
          </w:tcPr>
          <w:p w14:paraId="52499920" w14:textId="77777777" w:rsidR="00D93338" w:rsidRDefault="00DF0792" w:rsidP="00DF0792">
            <w:pPr>
              <w:contextualSpacing/>
              <w:jc w:val="right"/>
            </w:pPr>
            <w:r>
              <w:t>116,000 gallons</w:t>
            </w:r>
          </w:p>
        </w:tc>
        <w:tc>
          <w:tcPr>
            <w:tcW w:w="1620" w:type="dxa"/>
          </w:tcPr>
          <w:p w14:paraId="6C844075" w14:textId="531B8EFE" w:rsidR="00D93338" w:rsidRPr="00490C3D" w:rsidRDefault="00DF0792" w:rsidP="00F12D74">
            <w:pPr>
              <w:contextualSpacing/>
              <w:jc w:val="right"/>
              <w:rPr>
                <w:highlight w:val="yellow"/>
              </w:rPr>
            </w:pPr>
            <w:r w:rsidRPr="00490C3D">
              <w:rPr>
                <w:highlight w:val="yellow"/>
              </w:rPr>
              <w:t>$</w:t>
            </w:r>
            <w:r w:rsidR="00A10465" w:rsidRPr="00490C3D">
              <w:rPr>
                <w:highlight w:val="yellow"/>
              </w:rPr>
              <w:t>1,073.00</w:t>
            </w:r>
          </w:p>
        </w:tc>
        <w:tc>
          <w:tcPr>
            <w:tcW w:w="1440" w:type="dxa"/>
          </w:tcPr>
          <w:p w14:paraId="28A9AE8F" w14:textId="38108A37" w:rsidR="00D93338" w:rsidRPr="00490C3D" w:rsidRDefault="00DF0792" w:rsidP="00F12D74">
            <w:pPr>
              <w:contextualSpacing/>
              <w:jc w:val="right"/>
              <w:rPr>
                <w:highlight w:val="yellow"/>
              </w:rPr>
            </w:pPr>
            <w:r w:rsidRPr="00490C3D">
              <w:rPr>
                <w:highlight w:val="yellow"/>
              </w:rPr>
              <w:t>$</w:t>
            </w:r>
            <w:r w:rsidR="00A10465" w:rsidRPr="00490C3D">
              <w:rPr>
                <w:highlight w:val="yellow"/>
              </w:rPr>
              <w:t>1</w:t>
            </w:r>
            <w:r w:rsidR="002B5DD5" w:rsidRPr="00490C3D">
              <w:rPr>
                <w:highlight w:val="yellow"/>
              </w:rPr>
              <w:t>,</w:t>
            </w:r>
            <w:r w:rsidR="00A10465" w:rsidRPr="00490C3D">
              <w:rPr>
                <w:highlight w:val="yellow"/>
              </w:rPr>
              <w:t>588.04</w:t>
            </w:r>
          </w:p>
        </w:tc>
      </w:tr>
      <w:tr w:rsidR="00D93338" w14:paraId="5F0641D4" w14:textId="77777777" w:rsidTr="009A2CFF">
        <w:tc>
          <w:tcPr>
            <w:tcW w:w="2430" w:type="dxa"/>
          </w:tcPr>
          <w:p w14:paraId="0E6327E4" w14:textId="77777777" w:rsidR="00D93338" w:rsidRDefault="00DF0792" w:rsidP="00DF0792">
            <w:pPr>
              <w:contextualSpacing/>
              <w:jc w:val="center"/>
            </w:pPr>
            <w:r>
              <w:t>4”</w:t>
            </w:r>
          </w:p>
        </w:tc>
        <w:tc>
          <w:tcPr>
            <w:tcW w:w="2070" w:type="dxa"/>
          </w:tcPr>
          <w:p w14:paraId="0CFE0C28" w14:textId="77777777" w:rsidR="00D93338" w:rsidRDefault="00DF0792" w:rsidP="00DF0792">
            <w:pPr>
              <w:contextualSpacing/>
              <w:jc w:val="right"/>
            </w:pPr>
            <w:r>
              <w:t>204,000 gallons</w:t>
            </w:r>
          </w:p>
        </w:tc>
        <w:tc>
          <w:tcPr>
            <w:tcW w:w="1620" w:type="dxa"/>
          </w:tcPr>
          <w:p w14:paraId="09250219" w14:textId="6CF97AE7" w:rsidR="00D93338" w:rsidRPr="00490C3D" w:rsidRDefault="00DF0792" w:rsidP="00F12D74">
            <w:pPr>
              <w:contextualSpacing/>
              <w:jc w:val="right"/>
              <w:rPr>
                <w:highlight w:val="yellow"/>
              </w:rPr>
            </w:pPr>
            <w:r w:rsidRPr="00490C3D">
              <w:rPr>
                <w:highlight w:val="yellow"/>
              </w:rPr>
              <w:t>$</w:t>
            </w:r>
            <w:r w:rsidR="002B5DD5" w:rsidRPr="00490C3D">
              <w:rPr>
                <w:highlight w:val="yellow"/>
              </w:rPr>
              <w:t>1,</w:t>
            </w:r>
            <w:r w:rsidR="007B571B" w:rsidRPr="00490C3D">
              <w:rPr>
                <w:highlight w:val="yellow"/>
              </w:rPr>
              <w:t>887.00</w:t>
            </w:r>
          </w:p>
        </w:tc>
        <w:tc>
          <w:tcPr>
            <w:tcW w:w="1440" w:type="dxa"/>
          </w:tcPr>
          <w:p w14:paraId="6BCE28F5" w14:textId="33759EED" w:rsidR="00D93338" w:rsidRPr="00490C3D" w:rsidRDefault="007B571B" w:rsidP="00F12D74">
            <w:pPr>
              <w:contextualSpacing/>
              <w:jc w:val="right"/>
              <w:rPr>
                <w:highlight w:val="yellow"/>
              </w:rPr>
            </w:pPr>
            <w:r w:rsidRPr="00490C3D">
              <w:rPr>
                <w:highlight w:val="yellow"/>
              </w:rPr>
              <w:t>$</w:t>
            </w:r>
            <w:r w:rsidR="002B5DD5" w:rsidRPr="00490C3D">
              <w:rPr>
                <w:highlight w:val="yellow"/>
              </w:rPr>
              <w:t>2,</w:t>
            </w:r>
            <w:r w:rsidRPr="00490C3D">
              <w:rPr>
                <w:highlight w:val="yellow"/>
              </w:rPr>
              <w:t>792.76</w:t>
            </w:r>
          </w:p>
        </w:tc>
      </w:tr>
      <w:tr w:rsidR="00D93338" w14:paraId="4AD23989" w14:textId="77777777" w:rsidTr="009A2CFF">
        <w:tc>
          <w:tcPr>
            <w:tcW w:w="2430" w:type="dxa"/>
          </w:tcPr>
          <w:p w14:paraId="0E18418D" w14:textId="77777777" w:rsidR="00D93338" w:rsidRDefault="00DF0792" w:rsidP="00DF0792">
            <w:pPr>
              <w:contextualSpacing/>
              <w:jc w:val="center"/>
            </w:pPr>
            <w:r>
              <w:t>6”</w:t>
            </w:r>
          </w:p>
        </w:tc>
        <w:tc>
          <w:tcPr>
            <w:tcW w:w="2070" w:type="dxa"/>
          </w:tcPr>
          <w:p w14:paraId="53978867" w14:textId="77777777" w:rsidR="00D93338" w:rsidRDefault="00DF0792" w:rsidP="00DF0792">
            <w:pPr>
              <w:contextualSpacing/>
              <w:jc w:val="right"/>
            </w:pPr>
            <w:r>
              <w:t>348,000 gallons</w:t>
            </w:r>
          </w:p>
        </w:tc>
        <w:tc>
          <w:tcPr>
            <w:tcW w:w="1620" w:type="dxa"/>
          </w:tcPr>
          <w:p w14:paraId="7758AA83" w14:textId="1966B9AC" w:rsidR="00D93338" w:rsidRPr="00490C3D" w:rsidRDefault="00DF0792" w:rsidP="00F12D74">
            <w:pPr>
              <w:contextualSpacing/>
              <w:jc w:val="right"/>
              <w:rPr>
                <w:highlight w:val="yellow"/>
              </w:rPr>
            </w:pPr>
            <w:r w:rsidRPr="00490C3D">
              <w:rPr>
                <w:highlight w:val="yellow"/>
              </w:rPr>
              <w:t>$</w:t>
            </w:r>
            <w:r w:rsidR="007B571B" w:rsidRPr="00490C3D">
              <w:rPr>
                <w:highlight w:val="yellow"/>
              </w:rPr>
              <w:t>3,219.00</w:t>
            </w:r>
          </w:p>
        </w:tc>
        <w:tc>
          <w:tcPr>
            <w:tcW w:w="1440" w:type="dxa"/>
          </w:tcPr>
          <w:p w14:paraId="1F924E4A" w14:textId="26722F65" w:rsidR="00D93338" w:rsidRPr="00490C3D" w:rsidRDefault="00DF0792" w:rsidP="00F12D74">
            <w:pPr>
              <w:contextualSpacing/>
              <w:jc w:val="right"/>
              <w:rPr>
                <w:highlight w:val="yellow"/>
              </w:rPr>
            </w:pPr>
            <w:r w:rsidRPr="00490C3D">
              <w:rPr>
                <w:highlight w:val="yellow"/>
              </w:rPr>
              <w:t>$</w:t>
            </w:r>
            <w:r w:rsidR="007B571B" w:rsidRPr="00490C3D">
              <w:rPr>
                <w:highlight w:val="yellow"/>
              </w:rPr>
              <w:t>4</w:t>
            </w:r>
            <w:r w:rsidR="002B5DD5" w:rsidRPr="00490C3D">
              <w:rPr>
                <w:highlight w:val="yellow"/>
              </w:rPr>
              <w:t>,</w:t>
            </w:r>
            <w:r w:rsidR="007B571B" w:rsidRPr="00490C3D">
              <w:rPr>
                <w:highlight w:val="yellow"/>
              </w:rPr>
              <w:t>764.12</w:t>
            </w:r>
          </w:p>
        </w:tc>
      </w:tr>
      <w:tr w:rsidR="00DF0792" w14:paraId="40ADB4A2" w14:textId="77777777" w:rsidTr="009A2CFF">
        <w:trPr>
          <w:trHeight w:val="260"/>
        </w:trPr>
        <w:tc>
          <w:tcPr>
            <w:tcW w:w="2430" w:type="dxa"/>
          </w:tcPr>
          <w:p w14:paraId="7DF60FA3" w14:textId="77777777" w:rsidR="00DF0792" w:rsidRDefault="00DF0792" w:rsidP="00DF0792">
            <w:pPr>
              <w:contextualSpacing/>
              <w:jc w:val="center"/>
            </w:pPr>
            <w:r>
              <w:t>8”</w:t>
            </w:r>
          </w:p>
        </w:tc>
        <w:tc>
          <w:tcPr>
            <w:tcW w:w="2070" w:type="dxa"/>
          </w:tcPr>
          <w:p w14:paraId="63C2DC5F" w14:textId="77777777" w:rsidR="00DF0792" w:rsidRDefault="00DF0792" w:rsidP="00DF0792">
            <w:pPr>
              <w:contextualSpacing/>
              <w:jc w:val="right"/>
            </w:pPr>
            <w:r>
              <w:t>540,000 gallons</w:t>
            </w:r>
          </w:p>
        </w:tc>
        <w:tc>
          <w:tcPr>
            <w:tcW w:w="1620" w:type="dxa"/>
          </w:tcPr>
          <w:p w14:paraId="458D019A" w14:textId="01D78663" w:rsidR="00DF0792" w:rsidRPr="00490C3D" w:rsidRDefault="00DF0792" w:rsidP="00F12D74">
            <w:pPr>
              <w:contextualSpacing/>
              <w:jc w:val="right"/>
              <w:rPr>
                <w:highlight w:val="yellow"/>
              </w:rPr>
            </w:pPr>
            <w:r w:rsidRPr="00490C3D">
              <w:rPr>
                <w:highlight w:val="yellow"/>
              </w:rPr>
              <w:t>$</w:t>
            </w:r>
            <w:r w:rsidR="002B5DD5" w:rsidRPr="00490C3D">
              <w:rPr>
                <w:highlight w:val="yellow"/>
              </w:rPr>
              <w:t>4,</w:t>
            </w:r>
            <w:r w:rsidR="007B571B" w:rsidRPr="00490C3D">
              <w:rPr>
                <w:highlight w:val="yellow"/>
              </w:rPr>
              <w:t>995.00</w:t>
            </w:r>
          </w:p>
        </w:tc>
        <w:tc>
          <w:tcPr>
            <w:tcW w:w="1440" w:type="dxa"/>
          </w:tcPr>
          <w:p w14:paraId="4D8349A9" w14:textId="6ED7B151" w:rsidR="00DF0792" w:rsidRPr="00490C3D" w:rsidRDefault="00DF0792" w:rsidP="00DF0792">
            <w:pPr>
              <w:contextualSpacing/>
              <w:jc w:val="right"/>
              <w:rPr>
                <w:highlight w:val="yellow"/>
              </w:rPr>
            </w:pPr>
            <w:r w:rsidRPr="00490C3D">
              <w:rPr>
                <w:highlight w:val="yellow"/>
              </w:rPr>
              <w:t>$</w:t>
            </w:r>
            <w:r w:rsidR="007B571B" w:rsidRPr="00490C3D">
              <w:rPr>
                <w:highlight w:val="yellow"/>
              </w:rPr>
              <w:t>7</w:t>
            </w:r>
            <w:r w:rsidR="002B5DD5" w:rsidRPr="00490C3D">
              <w:rPr>
                <w:highlight w:val="yellow"/>
              </w:rPr>
              <w:t>,</w:t>
            </w:r>
            <w:r w:rsidR="007B571B" w:rsidRPr="00490C3D">
              <w:rPr>
                <w:highlight w:val="yellow"/>
              </w:rPr>
              <w:t>392.60</w:t>
            </w:r>
          </w:p>
        </w:tc>
      </w:tr>
    </w:tbl>
    <w:p w14:paraId="62F77554" w14:textId="77777777" w:rsidR="006B0BBE" w:rsidRDefault="006B0BBE" w:rsidP="00F12D74">
      <w:pPr>
        <w:spacing w:line="240" w:lineRule="auto"/>
        <w:contextualSpacing/>
      </w:pPr>
      <w:r>
        <w:tab/>
        <w:t xml:space="preserve">     </w:t>
      </w:r>
    </w:p>
    <w:p w14:paraId="4A5D067C" w14:textId="77777777" w:rsidR="00AA6DE9" w:rsidRDefault="00131F32" w:rsidP="00AA6DE9">
      <w:pPr>
        <w:spacing w:line="240" w:lineRule="auto"/>
        <w:contextualSpacing/>
      </w:pPr>
      <w:r>
        <w:tab/>
        <w:t xml:space="preserve">C.  A late fee of 5% will be assessed to any </w:t>
      </w:r>
      <w:r w:rsidR="00AA6DE9">
        <w:t>past-due balance.</w:t>
      </w:r>
    </w:p>
    <w:p w14:paraId="6DCE9D42" w14:textId="77777777" w:rsidR="00AA6DE9" w:rsidRDefault="00AA6DE9" w:rsidP="00AA6DE9">
      <w:pPr>
        <w:spacing w:line="240" w:lineRule="auto"/>
        <w:contextualSpacing/>
      </w:pPr>
    </w:p>
    <w:p w14:paraId="2A73E17E" w14:textId="417C3B83" w:rsidR="003E74C9" w:rsidRDefault="00DE32BB" w:rsidP="00820296">
      <w:pPr>
        <w:spacing w:line="240" w:lineRule="auto"/>
        <w:ind w:left="720"/>
        <w:contextualSpacing/>
      </w:pPr>
      <w:r>
        <w:t>D</w:t>
      </w:r>
      <w:r w:rsidR="003E74C9">
        <w:t xml:space="preserve">. </w:t>
      </w:r>
      <w:r w:rsidR="00A84730">
        <w:t xml:space="preserve">In 1992, the General Assembly authorized the Virginia Department of Health to charge an annual waterworks operations fee to assist in the administering of the Environmental Protection Agency’s drinking water programs, among which is the Safe Drinking Water Act.  The waterworks operations fee is charged to community waterworks and is permitted to be passed along to the customer.  Each year the fee can </w:t>
      </w:r>
      <w:r w:rsidR="00DD24A0">
        <w:t>vary but</w:t>
      </w:r>
      <w:r w:rsidR="00A84730">
        <w:t xml:space="preserve"> is not to exceed $3.00 according to VA Code 12VAC5-600-50. </w:t>
      </w:r>
    </w:p>
    <w:p w14:paraId="3A9E63A2" w14:textId="77777777" w:rsidR="00AA6DE9" w:rsidRDefault="00AA6DE9" w:rsidP="00093E04">
      <w:pPr>
        <w:spacing w:line="240" w:lineRule="auto"/>
        <w:contextualSpacing/>
      </w:pPr>
    </w:p>
    <w:p w14:paraId="696114EB" w14:textId="77777777" w:rsidR="002C2D13" w:rsidRDefault="002C2D13" w:rsidP="00093E04">
      <w:pPr>
        <w:spacing w:line="240" w:lineRule="auto"/>
        <w:contextualSpacing/>
      </w:pPr>
      <w:r>
        <w:t>III. Consecutive Water</w:t>
      </w:r>
      <w:r w:rsidR="00AA6DE9">
        <w:t xml:space="preserve">works: </w:t>
      </w:r>
    </w:p>
    <w:p w14:paraId="4C6C57C2" w14:textId="77777777" w:rsidR="002C2D13" w:rsidRDefault="002C2D13" w:rsidP="00093E04">
      <w:pPr>
        <w:spacing w:line="240" w:lineRule="auto"/>
        <w:contextualSpacing/>
      </w:pPr>
      <w:r>
        <w:t xml:space="preserve"> </w:t>
      </w:r>
    </w:p>
    <w:p w14:paraId="736F85E4" w14:textId="77777777" w:rsidR="00AA6DE9" w:rsidRDefault="002C2D13" w:rsidP="005A3E90">
      <w:pPr>
        <w:spacing w:line="240" w:lineRule="auto"/>
        <w:ind w:left="720"/>
        <w:contextualSpacing/>
      </w:pPr>
      <w:r>
        <w:t>A.</w:t>
      </w:r>
      <w:r w:rsidR="00DF0792">
        <w:t xml:space="preserve"> </w:t>
      </w:r>
      <w:r>
        <w:t>A Consecutive Water</w:t>
      </w:r>
      <w:r w:rsidR="00AA6DE9">
        <w:t>works</w:t>
      </w:r>
      <w:r>
        <w:t>, as defined by the Virginia Department of Health – Office of Drinking Water</w:t>
      </w:r>
      <w:r w:rsidR="006E2B88">
        <w:t xml:space="preserve"> </w:t>
      </w:r>
      <w:r w:rsidR="00AA6DE9">
        <w:t xml:space="preserve">means </w:t>
      </w:r>
      <w:r w:rsidR="00AA6DE9" w:rsidRPr="00AA6DE9">
        <w:rPr>
          <w:i/>
        </w:rPr>
        <w:t>a waterworks that has no water production or source facility on its own and that obtains all of its water from</w:t>
      </w:r>
      <w:r w:rsidR="0021325F">
        <w:rPr>
          <w:i/>
        </w:rPr>
        <w:t xml:space="preserve"> another permitted waterworks or</w:t>
      </w:r>
      <w:r w:rsidR="00AA6DE9" w:rsidRPr="00AA6DE9">
        <w:rPr>
          <w:i/>
        </w:rPr>
        <w:t xml:space="preserve"> receives some or all of its finished water from one or more wholesale waterworks.  Delivery may be through a direct connection or through the distribution system of one or more consecutive waterworks</w:t>
      </w:r>
      <w:r w:rsidR="00AA6DE9">
        <w:t xml:space="preserve">.  </w:t>
      </w:r>
    </w:p>
    <w:p w14:paraId="1870628F" w14:textId="77777777" w:rsidR="00AA6DE9" w:rsidRDefault="00AA6DE9" w:rsidP="005A3E90">
      <w:pPr>
        <w:spacing w:line="240" w:lineRule="auto"/>
        <w:ind w:left="720"/>
        <w:contextualSpacing/>
      </w:pPr>
    </w:p>
    <w:p w14:paraId="2A81BCA0" w14:textId="77777777" w:rsidR="00AA6DE9" w:rsidRDefault="00AA6DE9" w:rsidP="00AA6DE9">
      <w:pPr>
        <w:spacing w:line="240" w:lineRule="auto"/>
        <w:ind w:left="1440"/>
        <w:contextualSpacing/>
      </w:pPr>
      <w:r>
        <w:t>1. C</w:t>
      </w:r>
      <w:r w:rsidR="006E2B88">
        <w:t xml:space="preserve">ustomers </w:t>
      </w:r>
      <w:r>
        <w:t xml:space="preserve">in the consecutive water works category purchasing </w:t>
      </w:r>
      <w:r w:rsidR="006E2B88" w:rsidRPr="00602F83">
        <w:rPr>
          <w:b/>
          <w:u w:val="single"/>
        </w:rPr>
        <w:t>less than</w:t>
      </w:r>
      <w:r w:rsidR="006E2B88" w:rsidRPr="00602F83">
        <w:rPr>
          <w:b/>
        </w:rPr>
        <w:t xml:space="preserve"> 4,250,000 gallons per month</w:t>
      </w:r>
      <w:r w:rsidR="006E2B88">
        <w:t xml:space="preserve"> will be charged at the current prevailing rate per thousand gallons of water.   </w:t>
      </w:r>
    </w:p>
    <w:p w14:paraId="4E2E1433" w14:textId="77777777" w:rsidR="00AA6DE9" w:rsidRDefault="00AA6DE9" w:rsidP="005A3E90">
      <w:pPr>
        <w:spacing w:line="240" w:lineRule="auto"/>
        <w:ind w:left="720"/>
        <w:contextualSpacing/>
      </w:pPr>
    </w:p>
    <w:p w14:paraId="58C9CCB5" w14:textId="537274BA" w:rsidR="00DF0792" w:rsidRDefault="00AA6DE9" w:rsidP="00AA6DE9">
      <w:pPr>
        <w:spacing w:line="240" w:lineRule="auto"/>
        <w:ind w:left="1440"/>
        <w:contextualSpacing/>
      </w:pPr>
      <w:r>
        <w:t xml:space="preserve">2. Customers in the consecutive water works category purchasing </w:t>
      </w:r>
      <w:r w:rsidRPr="00602F83">
        <w:rPr>
          <w:b/>
          <w:u w:val="single"/>
        </w:rPr>
        <w:t>more than</w:t>
      </w:r>
      <w:r w:rsidRPr="00602F83">
        <w:rPr>
          <w:b/>
        </w:rPr>
        <w:t xml:space="preserve"> 4,250,000 gallons of water per month </w:t>
      </w:r>
      <w:r>
        <w:t xml:space="preserve">will receive a </w:t>
      </w:r>
      <w:r w:rsidR="00DF0792">
        <w:t>22.5% bulk user discount o</w:t>
      </w:r>
      <w:r w:rsidR="005A3E90">
        <w:t>ff the current prevailing</w:t>
      </w:r>
      <w:r w:rsidR="00DF0792">
        <w:t xml:space="preserve"> retail water rate</w:t>
      </w:r>
      <w:r>
        <w:t xml:space="preserve"> per thousand gallons of water</w:t>
      </w:r>
      <w:r w:rsidR="00DF0792">
        <w:t xml:space="preserve">.  </w:t>
      </w:r>
      <w:r>
        <w:t>(</w:t>
      </w:r>
      <w:r w:rsidR="00DF0792" w:rsidRPr="00AA6DE9">
        <w:rPr>
          <w:i/>
        </w:rPr>
        <w:t xml:space="preserve">Currently this equates to </w:t>
      </w:r>
      <w:r w:rsidR="00DF0792" w:rsidRPr="00490C3D">
        <w:rPr>
          <w:i/>
          <w:highlight w:val="yellow"/>
        </w:rPr>
        <w:t>$</w:t>
      </w:r>
      <w:r w:rsidR="007B571B" w:rsidRPr="00490C3D">
        <w:rPr>
          <w:i/>
          <w:highlight w:val="yellow"/>
        </w:rPr>
        <w:t>7.18</w:t>
      </w:r>
      <w:r w:rsidR="005E4661">
        <w:rPr>
          <w:i/>
        </w:rPr>
        <w:t>/1,000 gallons, for a minimum of 4,250,000 gallons per month to qualify for the discounted rate.  The monthly minimum bill would be $</w:t>
      </w:r>
      <w:r w:rsidR="007B571B" w:rsidRPr="00490C3D">
        <w:rPr>
          <w:i/>
          <w:highlight w:val="yellow"/>
        </w:rPr>
        <w:t>30</w:t>
      </w:r>
      <w:r w:rsidR="002B5DD5" w:rsidRPr="00490C3D">
        <w:rPr>
          <w:i/>
          <w:highlight w:val="yellow"/>
        </w:rPr>
        <w:t>,</w:t>
      </w:r>
      <w:r w:rsidR="007B571B" w:rsidRPr="00490C3D">
        <w:rPr>
          <w:i/>
          <w:highlight w:val="yellow"/>
        </w:rPr>
        <w:t>515.00</w:t>
      </w:r>
      <w:r w:rsidR="005E4661">
        <w:rPr>
          <w:i/>
        </w:rPr>
        <w:t xml:space="preserve">.)   </w:t>
      </w:r>
    </w:p>
    <w:p w14:paraId="50BF0FF9" w14:textId="77777777" w:rsidR="00DE32BB" w:rsidRDefault="00DE32BB" w:rsidP="00AA6DE9">
      <w:pPr>
        <w:spacing w:line="240" w:lineRule="auto"/>
        <w:contextualSpacing/>
      </w:pPr>
    </w:p>
    <w:p w14:paraId="4CD4A397" w14:textId="77777777" w:rsidR="00AA6DE9" w:rsidRDefault="00AA6DE9" w:rsidP="00AA6DE9">
      <w:pPr>
        <w:spacing w:line="240" w:lineRule="auto"/>
        <w:contextualSpacing/>
      </w:pPr>
      <w:r>
        <w:t xml:space="preserve">B. The schedule of Connection Fees for Consecutive Waterworks </w:t>
      </w:r>
      <w:r w:rsidR="00F15B82">
        <w:t xml:space="preserve">within Louisa County </w:t>
      </w:r>
      <w:r>
        <w:t>is as follows:*</w:t>
      </w:r>
    </w:p>
    <w:p w14:paraId="1494B36C" w14:textId="77777777" w:rsidR="00AA6DE9" w:rsidRDefault="00AA6DE9" w:rsidP="00AA6DE9">
      <w:pPr>
        <w:spacing w:line="240" w:lineRule="auto"/>
        <w:contextualSpacing/>
      </w:pPr>
    </w:p>
    <w:tbl>
      <w:tblPr>
        <w:tblStyle w:val="TableGrid"/>
        <w:tblW w:w="0" w:type="auto"/>
        <w:tblInd w:w="1458" w:type="dxa"/>
        <w:tblLook w:val="04A0" w:firstRow="1" w:lastRow="0" w:firstColumn="1" w:lastColumn="0" w:noHBand="0" w:noVBand="1"/>
      </w:tblPr>
      <w:tblGrid>
        <w:gridCol w:w="1260"/>
        <w:gridCol w:w="1710"/>
        <w:gridCol w:w="1890"/>
        <w:gridCol w:w="1350"/>
        <w:gridCol w:w="1800"/>
      </w:tblGrid>
      <w:tr w:rsidR="0021325F" w14:paraId="371051AF" w14:textId="77777777" w:rsidTr="0021325F">
        <w:tc>
          <w:tcPr>
            <w:tcW w:w="1260" w:type="dxa"/>
          </w:tcPr>
          <w:p w14:paraId="27B3E85D" w14:textId="77777777" w:rsidR="0021325F" w:rsidRDefault="0021325F" w:rsidP="004C71D2">
            <w:pPr>
              <w:contextualSpacing/>
              <w:jc w:val="center"/>
            </w:pPr>
            <w:r>
              <w:t>Meter Size</w:t>
            </w:r>
          </w:p>
        </w:tc>
        <w:tc>
          <w:tcPr>
            <w:tcW w:w="1710" w:type="dxa"/>
          </w:tcPr>
          <w:p w14:paraId="3BE5FF1E" w14:textId="77777777" w:rsidR="0021325F" w:rsidRDefault="0021325F" w:rsidP="004C71D2">
            <w:pPr>
              <w:contextualSpacing/>
              <w:jc w:val="center"/>
            </w:pPr>
            <w:r>
              <w:t>Maximum GPM</w:t>
            </w:r>
          </w:p>
        </w:tc>
        <w:tc>
          <w:tcPr>
            <w:tcW w:w="1890" w:type="dxa"/>
          </w:tcPr>
          <w:p w14:paraId="0178F8BF" w14:textId="77777777" w:rsidR="0021325F" w:rsidRDefault="0021325F" w:rsidP="004C71D2">
            <w:pPr>
              <w:contextualSpacing/>
              <w:jc w:val="center"/>
            </w:pPr>
            <w:r>
              <w:t>Gallons Per Month</w:t>
            </w:r>
          </w:p>
        </w:tc>
        <w:tc>
          <w:tcPr>
            <w:tcW w:w="1350" w:type="dxa"/>
          </w:tcPr>
          <w:p w14:paraId="18EB5882" w14:textId="77777777" w:rsidR="0021325F" w:rsidRDefault="0021325F" w:rsidP="004C71D2">
            <w:pPr>
              <w:contextualSpacing/>
              <w:jc w:val="center"/>
            </w:pPr>
            <w:r>
              <w:t>WATER</w:t>
            </w:r>
          </w:p>
        </w:tc>
        <w:tc>
          <w:tcPr>
            <w:tcW w:w="1800" w:type="dxa"/>
          </w:tcPr>
          <w:p w14:paraId="17AF31A5" w14:textId="77777777" w:rsidR="0021325F" w:rsidRDefault="0021325F" w:rsidP="004C71D2">
            <w:pPr>
              <w:contextualSpacing/>
              <w:jc w:val="center"/>
            </w:pPr>
            <w:r>
              <w:t>Connection Type</w:t>
            </w:r>
          </w:p>
        </w:tc>
      </w:tr>
      <w:tr w:rsidR="0021325F" w14:paraId="13B89DB2" w14:textId="77777777" w:rsidTr="0021325F">
        <w:tc>
          <w:tcPr>
            <w:tcW w:w="1260" w:type="dxa"/>
          </w:tcPr>
          <w:p w14:paraId="081A7464" w14:textId="1F2E774E" w:rsidR="0021325F" w:rsidRDefault="0021325F" w:rsidP="0021325F">
            <w:pPr>
              <w:contextualSpacing/>
            </w:pPr>
            <w:r>
              <w:t xml:space="preserve">3/4” </w:t>
            </w:r>
            <w:r w:rsidR="00F15B82">
              <w:t>or</w:t>
            </w:r>
            <w:r>
              <w:t xml:space="preserve"> 5/8”</w:t>
            </w:r>
          </w:p>
        </w:tc>
        <w:tc>
          <w:tcPr>
            <w:tcW w:w="1710" w:type="dxa"/>
          </w:tcPr>
          <w:p w14:paraId="79EFD8F9" w14:textId="77777777" w:rsidR="0021325F" w:rsidRDefault="0021325F" w:rsidP="004C71D2">
            <w:pPr>
              <w:contextualSpacing/>
              <w:jc w:val="center"/>
            </w:pPr>
            <w:r>
              <w:t>20</w:t>
            </w:r>
          </w:p>
        </w:tc>
        <w:tc>
          <w:tcPr>
            <w:tcW w:w="1890" w:type="dxa"/>
          </w:tcPr>
          <w:p w14:paraId="0163AE97" w14:textId="77777777" w:rsidR="0021325F" w:rsidRDefault="0021325F" w:rsidP="00602F83">
            <w:pPr>
              <w:contextualSpacing/>
              <w:jc w:val="right"/>
            </w:pPr>
            <w:r>
              <w:t xml:space="preserve">-0- / </w:t>
            </w:r>
            <w:r w:rsidR="00602F83">
              <w:t>3</w:t>
            </w:r>
            <w:r>
              <w:t>,000</w:t>
            </w:r>
          </w:p>
        </w:tc>
        <w:tc>
          <w:tcPr>
            <w:tcW w:w="1350" w:type="dxa"/>
          </w:tcPr>
          <w:p w14:paraId="682D7A25" w14:textId="54A39E10" w:rsidR="0021325F" w:rsidRDefault="0021325F">
            <w:pPr>
              <w:contextualSpacing/>
              <w:jc w:val="right"/>
            </w:pPr>
            <w:r>
              <w:t>$1,</w:t>
            </w:r>
            <w:r w:rsidR="00742631">
              <w:t>835</w:t>
            </w:r>
            <w:r>
              <w:t>.00</w:t>
            </w:r>
          </w:p>
        </w:tc>
        <w:tc>
          <w:tcPr>
            <w:tcW w:w="1800" w:type="dxa"/>
          </w:tcPr>
          <w:p w14:paraId="33B3CC7D" w14:textId="77777777" w:rsidR="0021325F" w:rsidRDefault="0021325F" w:rsidP="0021325F">
            <w:pPr>
              <w:contextualSpacing/>
              <w:jc w:val="center"/>
            </w:pPr>
            <w:r>
              <w:t>Residential</w:t>
            </w:r>
          </w:p>
        </w:tc>
      </w:tr>
      <w:tr w:rsidR="0021325F" w14:paraId="42F86F2F" w14:textId="77777777" w:rsidTr="0021325F">
        <w:tc>
          <w:tcPr>
            <w:tcW w:w="1260" w:type="dxa"/>
          </w:tcPr>
          <w:p w14:paraId="2C8677AD" w14:textId="23F3A488" w:rsidR="0021325F" w:rsidRDefault="0021325F">
            <w:pPr>
              <w:contextualSpacing/>
              <w:jc w:val="center"/>
            </w:pPr>
            <w:r>
              <w:t xml:space="preserve">3/4” </w:t>
            </w:r>
            <w:r w:rsidR="00F15B82">
              <w:t>or</w:t>
            </w:r>
            <w:r>
              <w:t xml:space="preserve"> 5/8”</w:t>
            </w:r>
          </w:p>
        </w:tc>
        <w:tc>
          <w:tcPr>
            <w:tcW w:w="1710" w:type="dxa"/>
          </w:tcPr>
          <w:p w14:paraId="3DAA02A9" w14:textId="77777777" w:rsidR="0021325F" w:rsidRDefault="0021325F" w:rsidP="004C71D2">
            <w:pPr>
              <w:contextualSpacing/>
              <w:jc w:val="center"/>
            </w:pPr>
            <w:r>
              <w:t>20</w:t>
            </w:r>
          </w:p>
        </w:tc>
        <w:tc>
          <w:tcPr>
            <w:tcW w:w="1890" w:type="dxa"/>
          </w:tcPr>
          <w:p w14:paraId="3E34ECEE" w14:textId="77777777" w:rsidR="0021325F" w:rsidRDefault="0021325F" w:rsidP="004C71D2">
            <w:pPr>
              <w:contextualSpacing/>
              <w:jc w:val="right"/>
            </w:pPr>
            <w:r>
              <w:t>4,000 / 16,000</w:t>
            </w:r>
          </w:p>
        </w:tc>
        <w:tc>
          <w:tcPr>
            <w:tcW w:w="1350" w:type="dxa"/>
          </w:tcPr>
          <w:p w14:paraId="0F7230A5" w14:textId="77777777" w:rsidR="0021325F" w:rsidRDefault="0021325F" w:rsidP="0021325F">
            <w:pPr>
              <w:contextualSpacing/>
              <w:jc w:val="right"/>
            </w:pPr>
            <w:r>
              <w:t>$1,835.00</w:t>
            </w:r>
          </w:p>
        </w:tc>
        <w:tc>
          <w:tcPr>
            <w:tcW w:w="1800" w:type="dxa"/>
          </w:tcPr>
          <w:p w14:paraId="2AC0D6AD" w14:textId="77777777" w:rsidR="0021325F" w:rsidRDefault="0021325F" w:rsidP="0021325F">
            <w:pPr>
              <w:contextualSpacing/>
              <w:jc w:val="center"/>
            </w:pPr>
            <w:r>
              <w:t>Commercial</w:t>
            </w:r>
          </w:p>
        </w:tc>
      </w:tr>
      <w:tr w:rsidR="0021325F" w14:paraId="5513911A" w14:textId="77777777" w:rsidTr="0021325F">
        <w:tc>
          <w:tcPr>
            <w:tcW w:w="1260" w:type="dxa"/>
          </w:tcPr>
          <w:p w14:paraId="4FCE2ABA" w14:textId="77777777" w:rsidR="0021325F" w:rsidRDefault="0021325F" w:rsidP="004C71D2">
            <w:pPr>
              <w:contextualSpacing/>
              <w:jc w:val="center"/>
            </w:pPr>
            <w:r>
              <w:t>1”</w:t>
            </w:r>
          </w:p>
        </w:tc>
        <w:tc>
          <w:tcPr>
            <w:tcW w:w="1710" w:type="dxa"/>
          </w:tcPr>
          <w:p w14:paraId="3349F471" w14:textId="77777777" w:rsidR="0021325F" w:rsidRDefault="0021325F" w:rsidP="004C71D2">
            <w:pPr>
              <w:contextualSpacing/>
              <w:jc w:val="center"/>
            </w:pPr>
            <w:r>
              <w:t>50</w:t>
            </w:r>
          </w:p>
        </w:tc>
        <w:tc>
          <w:tcPr>
            <w:tcW w:w="1890" w:type="dxa"/>
          </w:tcPr>
          <w:p w14:paraId="373368D8" w14:textId="77777777" w:rsidR="0021325F" w:rsidRDefault="0021325F" w:rsidP="004C71D2">
            <w:pPr>
              <w:contextualSpacing/>
              <w:jc w:val="right"/>
            </w:pPr>
            <w:r>
              <w:t>16,000 / 32,000</w:t>
            </w:r>
          </w:p>
        </w:tc>
        <w:tc>
          <w:tcPr>
            <w:tcW w:w="1350" w:type="dxa"/>
          </w:tcPr>
          <w:p w14:paraId="4A49FF7C" w14:textId="54FBAB47" w:rsidR="0021325F" w:rsidRDefault="0021325F">
            <w:pPr>
              <w:contextualSpacing/>
              <w:jc w:val="right"/>
            </w:pPr>
            <w:r>
              <w:t>$4,</w:t>
            </w:r>
            <w:r w:rsidR="009E454D">
              <w:t>129</w:t>
            </w:r>
            <w:r>
              <w:t>.00</w:t>
            </w:r>
          </w:p>
        </w:tc>
        <w:tc>
          <w:tcPr>
            <w:tcW w:w="1800" w:type="dxa"/>
          </w:tcPr>
          <w:p w14:paraId="13DB09CC" w14:textId="77777777" w:rsidR="0021325F" w:rsidRDefault="0021325F" w:rsidP="0021325F">
            <w:pPr>
              <w:contextualSpacing/>
              <w:jc w:val="center"/>
            </w:pPr>
            <w:r>
              <w:t>Commercial</w:t>
            </w:r>
          </w:p>
        </w:tc>
      </w:tr>
      <w:tr w:rsidR="0021325F" w14:paraId="3750BE55" w14:textId="77777777" w:rsidTr="0021325F">
        <w:tc>
          <w:tcPr>
            <w:tcW w:w="1260" w:type="dxa"/>
          </w:tcPr>
          <w:p w14:paraId="6AB282E9" w14:textId="77777777" w:rsidR="0021325F" w:rsidRDefault="0021325F" w:rsidP="004C71D2">
            <w:pPr>
              <w:contextualSpacing/>
              <w:jc w:val="center"/>
            </w:pPr>
            <w:r>
              <w:t>1 ½”</w:t>
            </w:r>
          </w:p>
        </w:tc>
        <w:tc>
          <w:tcPr>
            <w:tcW w:w="1710" w:type="dxa"/>
          </w:tcPr>
          <w:p w14:paraId="5D551722" w14:textId="77777777" w:rsidR="0021325F" w:rsidRDefault="0021325F" w:rsidP="004C71D2">
            <w:pPr>
              <w:contextualSpacing/>
              <w:jc w:val="center"/>
            </w:pPr>
            <w:r>
              <w:t>100</w:t>
            </w:r>
          </w:p>
        </w:tc>
        <w:tc>
          <w:tcPr>
            <w:tcW w:w="1890" w:type="dxa"/>
          </w:tcPr>
          <w:p w14:paraId="2465622C" w14:textId="77777777" w:rsidR="0021325F" w:rsidRDefault="0021325F" w:rsidP="004C71D2">
            <w:pPr>
              <w:contextualSpacing/>
              <w:jc w:val="right"/>
            </w:pPr>
            <w:r>
              <w:t>32,000 / 72,000</w:t>
            </w:r>
          </w:p>
        </w:tc>
        <w:tc>
          <w:tcPr>
            <w:tcW w:w="1350" w:type="dxa"/>
          </w:tcPr>
          <w:p w14:paraId="6073FE42" w14:textId="55E6B3A2" w:rsidR="0021325F" w:rsidRDefault="0021325F">
            <w:pPr>
              <w:contextualSpacing/>
              <w:jc w:val="right"/>
            </w:pPr>
            <w:r>
              <w:t>$7,4</w:t>
            </w:r>
            <w:r w:rsidR="009E454D">
              <w:t>32</w:t>
            </w:r>
            <w:r>
              <w:t>.00</w:t>
            </w:r>
          </w:p>
        </w:tc>
        <w:tc>
          <w:tcPr>
            <w:tcW w:w="1800" w:type="dxa"/>
          </w:tcPr>
          <w:p w14:paraId="5CEE26BB" w14:textId="77777777" w:rsidR="0021325F" w:rsidRDefault="0021325F" w:rsidP="0021325F">
            <w:pPr>
              <w:contextualSpacing/>
              <w:jc w:val="center"/>
            </w:pPr>
            <w:r>
              <w:t>Commercial</w:t>
            </w:r>
          </w:p>
        </w:tc>
      </w:tr>
      <w:tr w:rsidR="0021325F" w14:paraId="70ACC2B7" w14:textId="77777777" w:rsidTr="0021325F">
        <w:tc>
          <w:tcPr>
            <w:tcW w:w="1260" w:type="dxa"/>
          </w:tcPr>
          <w:p w14:paraId="2FA29A06" w14:textId="77777777" w:rsidR="0021325F" w:rsidRDefault="0021325F" w:rsidP="004C71D2">
            <w:pPr>
              <w:contextualSpacing/>
              <w:jc w:val="center"/>
            </w:pPr>
            <w:r>
              <w:t>2”</w:t>
            </w:r>
          </w:p>
        </w:tc>
        <w:tc>
          <w:tcPr>
            <w:tcW w:w="1710" w:type="dxa"/>
          </w:tcPr>
          <w:p w14:paraId="0BFB952D" w14:textId="77777777" w:rsidR="0021325F" w:rsidRDefault="0021325F" w:rsidP="004C71D2">
            <w:pPr>
              <w:contextualSpacing/>
              <w:jc w:val="center"/>
            </w:pPr>
            <w:r>
              <w:t>160</w:t>
            </w:r>
          </w:p>
        </w:tc>
        <w:tc>
          <w:tcPr>
            <w:tcW w:w="1890" w:type="dxa"/>
          </w:tcPr>
          <w:p w14:paraId="4D968D47" w14:textId="77777777" w:rsidR="0021325F" w:rsidRDefault="0021325F" w:rsidP="004C71D2">
            <w:pPr>
              <w:contextualSpacing/>
              <w:jc w:val="right"/>
            </w:pPr>
            <w:r>
              <w:t>72,000 / 116,000</w:t>
            </w:r>
          </w:p>
        </w:tc>
        <w:tc>
          <w:tcPr>
            <w:tcW w:w="1350" w:type="dxa"/>
          </w:tcPr>
          <w:p w14:paraId="23B6C3E5" w14:textId="0E863CD3" w:rsidR="0021325F" w:rsidRDefault="0021325F">
            <w:pPr>
              <w:contextualSpacing/>
              <w:jc w:val="right"/>
            </w:pPr>
            <w:r>
              <w:t>$10,</w:t>
            </w:r>
            <w:r w:rsidR="009E454D">
              <w:t>702</w:t>
            </w:r>
            <w:r>
              <w:t>.00</w:t>
            </w:r>
          </w:p>
        </w:tc>
        <w:tc>
          <w:tcPr>
            <w:tcW w:w="1800" w:type="dxa"/>
          </w:tcPr>
          <w:p w14:paraId="3585FFA2" w14:textId="77777777" w:rsidR="0021325F" w:rsidRDefault="0021325F" w:rsidP="0021325F">
            <w:pPr>
              <w:contextualSpacing/>
              <w:jc w:val="center"/>
            </w:pPr>
            <w:r>
              <w:t>Commercial</w:t>
            </w:r>
          </w:p>
        </w:tc>
      </w:tr>
      <w:tr w:rsidR="0021325F" w14:paraId="093CE9C4" w14:textId="77777777" w:rsidTr="0021325F">
        <w:tc>
          <w:tcPr>
            <w:tcW w:w="1260" w:type="dxa"/>
          </w:tcPr>
          <w:p w14:paraId="2EB6D0A8" w14:textId="77777777" w:rsidR="0021325F" w:rsidRDefault="0021325F" w:rsidP="004C71D2">
            <w:pPr>
              <w:contextualSpacing/>
              <w:jc w:val="center"/>
            </w:pPr>
            <w:r>
              <w:t>3”</w:t>
            </w:r>
          </w:p>
        </w:tc>
        <w:tc>
          <w:tcPr>
            <w:tcW w:w="1710" w:type="dxa"/>
          </w:tcPr>
          <w:p w14:paraId="366F7F58" w14:textId="77777777" w:rsidR="0021325F" w:rsidRDefault="0021325F" w:rsidP="004C71D2">
            <w:pPr>
              <w:contextualSpacing/>
              <w:jc w:val="center"/>
            </w:pPr>
            <w:r>
              <w:t>450</w:t>
            </w:r>
          </w:p>
        </w:tc>
        <w:tc>
          <w:tcPr>
            <w:tcW w:w="1890" w:type="dxa"/>
          </w:tcPr>
          <w:p w14:paraId="6E75234A" w14:textId="77777777" w:rsidR="0021325F" w:rsidRDefault="0021325F" w:rsidP="004C71D2">
            <w:pPr>
              <w:contextualSpacing/>
              <w:jc w:val="right"/>
            </w:pPr>
            <w:r>
              <w:t>116,000 / 204,000</w:t>
            </w:r>
          </w:p>
        </w:tc>
        <w:tc>
          <w:tcPr>
            <w:tcW w:w="1350" w:type="dxa"/>
          </w:tcPr>
          <w:p w14:paraId="1ED7C34C" w14:textId="4ED81E81" w:rsidR="0021325F" w:rsidRDefault="0021325F">
            <w:pPr>
              <w:contextualSpacing/>
              <w:jc w:val="right"/>
            </w:pPr>
            <w:r>
              <w:t>$</w:t>
            </w:r>
            <w:r w:rsidR="009E454D">
              <w:t>27,089</w:t>
            </w:r>
            <w:r>
              <w:t>.00</w:t>
            </w:r>
          </w:p>
        </w:tc>
        <w:tc>
          <w:tcPr>
            <w:tcW w:w="1800" w:type="dxa"/>
          </w:tcPr>
          <w:p w14:paraId="566C065C" w14:textId="77777777" w:rsidR="0021325F" w:rsidRDefault="0021325F" w:rsidP="0021325F">
            <w:pPr>
              <w:contextualSpacing/>
              <w:jc w:val="center"/>
            </w:pPr>
            <w:r>
              <w:t>Commercial</w:t>
            </w:r>
          </w:p>
        </w:tc>
      </w:tr>
      <w:tr w:rsidR="0021325F" w14:paraId="382FA391" w14:textId="77777777" w:rsidTr="0021325F">
        <w:tc>
          <w:tcPr>
            <w:tcW w:w="1260" w:type="dxa"/>
          </w:tcPr>
          <w:p w14:paraId="00E0BEBA" w14:textId="77777777" w:rsidR="0021325F" w:rsidRDefault="0021325F" w:rsidP="004C71D2">
            <w:pPr>
              <w:contextualSpacing/>
              <w:jc w:val="center"/>
            </w:pPr>
            <w:r>
              <w:t>4”</w:t>
            </w:r>
          </w:p>
        </w:tc>
        <w:tc>
          <w:tcPr>
            <w:tcW w:w="1710" w:type="dxa"/>
          </w:tcPr>
          <w:p w14:paraId="490193BA" w14:textId="77777777" w:rsidR="0021325F" w:rsidRDefault="0021325F" w:rsidP="004C71D2">
            <w:pPr>
              <w:contextualSpacing/>
              <w:jc w:val="center"/>
            </w:pPr>
            <w:r>
              <w:t>1,000</w:t>
            </w:r>
          </w:p>
        </w:tc>
        <w:tc>
          <w:tcPr>
            <w:tcW w:w="1890" w:type="dxa"/>
          </w:tcPr>
          <w:p w14:paraId="5C8D1C37" w14:textId="77777777" w:rsidR="0021325F" w:rsidRDefault="0021325F" w:rsidP="004C71D2">
            <w:pPr>
              <w:contextualSpacing/>
              <w:jc w:val="right"/>
            </w:pPr>
            <w:r>
              <w:t>204,000 / 348,000</w:t>
            </w:r>
          </w:p>
        </w:tc>
        <w:tc>
          <w:tcPr>
            <w:tcW w:w="1350" w:type="dxa"/>
          </w:tcPr>
          <w:p w14:paraId="2C804086" w14:textId="54170903" w:rsidR="0021325F" w:rsidRDefault="0021325F">
            <w:pPr>
              <w:contextualSpacing/>
              <w:jc w:val="right"/>
            </w:pPr>
            <w:r>
              <w:t>$</w:t>
            </w:r>
            <w:r w:rsidR="009E454D">
              <w:t>54,177</w:t>
            </w:r>
            <w:r>
              <w:t>.00</w:t>
            </w:r>
          </w:p>
        </w:tc>
        <w:tc>
          <w:tcPr>
            <w:tcW w:w="1800" w:type="dxa"/>
          </w:tcPr>
          <w:p w14:paraId="4F3826A7" w14:textId="77777777" w:rsidR="0021325F" w:rsidRDefault="0021325F" w:rsidP="0021325F">
            <w:pPr>
              <w:contextualSpacing/>
              <w:jc w:val="center"/>
            </w:pPr>
            <w:r>
              <w:t>Commercial</w:t>
            </w:r>
          </w:p>
        </w:tc>
      </w:tr>
      <w:tr w:rsidR="0021325F" w14:paraId="5285F02C" w14:textId="77777777" w:rsidTr="0021325F">
        <w:tc>
          <w:tcPr>
            <w:tcW w:w="1260" w:type="dxa"/>
          </w:tcPr>
          <w:p w14:paraId="16A2D5C8" w14:textId="77777777" w:rsidR="0021325F" w:rsidRDefault="0021325F" w:rsidP="004C71D2">
            <w:pPr>
              <w:contextualSpacing/>
              <w:jc w:val="center"/>
            </w:pPr>
            <w:r>
              <w:t>6”</w:t>
            </w:r>
          </w:p>
        </w:tc>
        <w:tc>
          <w:tcPr>
            <w:tcW w:w="1710" w:type="dxa"/>
          </w:tcPr>
          <w:p w14:paraId="7FF026E7" w14:textId="77777777" w:rsidR="0021325F" w:rsidRDefault="0021325F" w:rsidP="004C71D2">
            <w:pPr>
              <w:contextualSpacing/>
              <w:jc w:val="center"/>
            </w:pPr>
            <w:r>
              <w:t>2,000</w:t>
            </w:r>
          </w:p>
        </w:tc>
        <w:tc>
          <w:tcPr>
            <w:tcW w:w="1890" w:type="dxa"/>
          </w:tcPr>
          <w:p w14:paraId="3B117689" w14:textId="77777777" w:rsidR="0021325F" w:rsidRDefault="0021325F" w:rsidP="004C71D2">
            <w:pPr>
              <w:contextualSpacing/>
              <w:jc w:val="right"/>
            </w:pPr>
            <w:r>
              <w:t>348,000 / 540,000</w:t>
            </w:r>
          </w:p>
        </w:tc>
        <w:tc>
          <w:tcPr>
            <w:tcW w:w="1350" w:type="dxa"/>
          </w:tcPr>
          <w:p w14:paraId="27FD411C" w14:textId="12C1A33E" w:rsidR="0021325F" w:rsidRDefault="0021325F">
            <w:pPr>
              <w:contextualSpacing/>
              <w:jc w:val="right"/>
            </w:pPr>
            <w:r>
              <w:t>$</w:t>
            </w:r>
            <w:r w:rsidR="009E454D">
              <w:t>97,519</w:t>
            </w:r>
            <w:r>
              <w:t>.00</w:t>
            </w:r>
          </w:p>
        </w:tc>
        <w:tc>
          <w:tcPr>
            <w:tcW w:w="1800" w:type="dxa"/>
          </w:tcPr>
          <w:p w14:paraId="39B792C2" w14:textId="77777777" w:rsidR="0021325F" w:rsidRDefault="0021325F" w:rsidP="0021325F">
            <w:pPr>
              <w:contextualSpacing/>
              <w:jc w:val="center"/>
            </w:pPr>
            <w:r>
              <w:t>Commercial</w:t>
            </w:r>
          </w:p>
        </w:tc>
      </w:tr>
    </w:tbl>
    <w:p w14:paraId="775B9DB3" w14:textId="77777777" w:rsidR="00B861A6" w:rsidRDefault="00AA6DE9" w:rsidP="00093E04">
      <w:pPr>
        <w:spacing w:line="240" w:lineRule="auto"/>
        <w:contextualSpacing/>
      </w:pPr>
      <w:r>
        <w:tab/>
      </w:r>
      <w:r>
        <w:tab/>
        <w:t>Louisa County Water Authority will negotiate and set rates for all meters over 6”.</w:t>
      </w:r>
    </w:p>
    <w:p w14:paraId="10BDD471" w14:textId="77777777" w:rsidR="00780710" w:rsidRDefault="00780710" w:rsidP="00093E04">
      <w:pPr>
        <w:spacing w:line="240" w:lineRule="auto"/>
        <w:contextualSpacing/>
      </w:pPr>
    </w:p>
    <w:p w14:paraId="5D8BA2A1" w14:textId="77777777" w:rsidR="00780710" w:rsidRDefault="00780710" w:rsidP="00093E04">
      <w:pPr>
        <w:spacing w:line="240" w:lineRule="auto"/>
        <w:contextualSpacing/>
      </w:pPr>
      <w:r>
        <w:tab/>
        <w:t>C. Consecutive Waterworks outside of Louisa County (to be defined).</w:t>
      </w:r>
    </w:p>
    <w:p w14:paraId="50EAE170" w14:textId="77777777" w:rsidR="0021325F" w:rsidRDefault="0021325F" w:rsidP="00093E04">
      <w:pPr>
        <w:spacing w:line="240" w:lineRule="auto"/>
        <w:contextualSpacing/>
      </w:pPr>
    </w:p>
    <w:p w14:paraId="5DD7758E" w14:textId="77777777" w:rsidR="00B109FB" w:rsidRDefault="00B861A6" w:rsidP="00093E04">
      <w:pPr>
        <w:spacing w:line="240" w:lineRule="auto"/>
        <w:contextualSpacing/>
      </w:pPr>
      <w:r>
        <w:t>I</w:t>
      </w:r>
      <w:r w:rsidR="0021325F">
        <w:t>V</w:t>
      </w:r>
      <w:r>
        <w:t xml:space="preserve">. </w:t>
      </w:r>
      <w:r w:rsidR="00B109FB">
        <w:t>Billing Policy</w:t>
      </w:r>
    </w:p>
    <w:p w14:paraId="2DC5A9B2" w14:textId="77777777" w:rsidR="00B109FB" w:rsidRDefault="00B109FB" w:rsidP="00F87A90">
      <w:pPr>
        <w:pStyle w:val="ListParagraph"/>
        <w:numPr>
          <w:ilvl w:val="0"/>
          <w:numId w:val="5"/>
        </w:numPr>
        <w:spacing w:line="240" w:lineRule="auto"/>
      </w:pPr>
      <w:r>
        <w:t xml:space="preserve">Monthly water and sewer bills are calculated from the meter readings.  </w:t>
      </w:r>
    </w:p>
    <w:p w14:paraId="130BD4BA" w14:textId="77777777" w:rsidR="005A3E90" w:rsidRDefault="005A3E90" w:rsidP="005A3E90">
      <w:pPr>
        <w:pStyle w:val="ListParagraph"/>
        <w:spacing w:line="240" w:lineRule="auto"/>
        <w:ind w:left="1335"/>
      </w:pPr>
    </w:p>
    <w:p w14:paraId="47ECACDA" w14:textId="77777777" w:rsidR="005A3E90" w:rsidRDefault="00F87A90" w:rsidP="005A3E90">
      <w:pPr>
        <w:pStyle w:val="ListParagraph"/>
        <w:numPr>
          <w:ilvl w:val="0"/>
          <w:numId w:val="5"/>
        </w:numPr>
        <w:spacing w:line="240" w:lineRule="auto"/>
      </w:pPr>
      <w:r>
        <w:lastRenderedPageBreak/>
        <w:t>A</w:t>
      </w:r>
      <w:r w:rsidR="00B109FB">
        <w:t xml:space="preserve">ll bills are due and payable upon receipt. </w:t>
      </w:r>
    </w:p>
    <w:p w14:paraId="5DAFF365" w14:textId="77777777" w:rsidR="00F12D74" w:rsidRDefault="00F12D74" w:rsidP="00F12D74">
      <w:pPr>
        <w:pStyle w:val="ListParagraph"/>
      </w:pPr>
    </w:p>
    <w:p w14:paraId="42195F7B" w14:textId="77777777" w:rsidR="00F12D74" w:rsidRDefault="00F12D74" w:rsidP="005A3E90">
      <w:pPr>
        <w:pStyle w:val="ListParagraph"/>
        <w:numPr>
          <w:ilvl w:val="0"/>
          <w:numId w:val="5"/>
        </w:numPr>
        <w:spacing w:line="240" w:lineRule="auto"/>
      </w:pPr>
      <w:r>
        <w:t xml:space="preserve">A fee of $20.00 will be applied </w:t>
      </w:r>
      <w:r w:rsidR="0082005A">
        <w:t>for the termination of service due to non-payment.</w:t>
      </w:r>
    </w:p>
    <w:p w14:paraId="6270B9D6" w14:textId="77777777" w:rsidR="005A3E90" w:rsidRDefault="005A3E90" w:rsidP="005A3E90">
      <w:pPr>
        <w:pStyle w:val="ListParagraph"/>
        <w:spacing w:line="240" w:lineRule="auto"/>
        <w:ind w:left="1335"/>
      </w:pPr>
    </w:p>
    <w:p w14:paraId="199643E0" w14:textId="77777777" w:rsidR="005A3E90" w:rsidRDefault="00B109FB" w:rsidP="005A3E90">
      <w:pPr>
        <w:pStyle w:val="ListParagraph"/>
        <w:numPr>
          <w:ilvl w:val="0"/>
          <w:numId w:val="5"/>
        </w:numPr>
        <w:spacing w:line="240" w:lineRule="auto"/>
      </w:pPr>
      <w:r>
        <w:t>If service is terminated due to non-payment, a reconnection charge of $20.00 will be applied</w:t>
      </w:r>
      <w:r w:rsidR="002E53F6">
        <w:t xml:space="preserve">.  All </w:t>
      </w:r>
      <w:r>
        <w:t>past-due balances</w:t>
      </w:r>
      <w:r w:rsidR="002E53F6">
        <w:t xml:space="preserve"> and the reconnection fee must be paid to have the </w:t>
      </w:r>
      <w:r w:rsidR="00F87A90">
        <w:t>service reconnected.</w:t>
      </w:r>
    </w:p>
    <w:p w14:paraId="34B6A8E4" w14:textId="77777777" w:rsidR="0082005A" w:rsidRDefault="0082005A" w:rsidP="0082005A">
      <w:pPr>
        <w:pStyle w:val="ListParagraph"/>
      </w:pPr>
    </w:p>
    <w:p w14:paraId="5E79F55D" w14:textId="77777777" w:rsidR="005A3E90" w:rsidRDefault="0082005A" w:rsidP="005A3E90">
      <w:pPr>
        <w:pStyle w:val="ListParagraph"/>
        <w:numPr>
          <w:ilvl w:val="0"/>
          <w:numId w:val="5"/>
        </w:numPr>
        <w:spacing w:line="240" w:lineRule="auto"/>
      </w:pPr>
      <w:r>
        <w:t>If a reconnection of service is requested after regular business hours, on weekends or holidays, a reconnection fee of $50.00 will be applied.  All past-due balances and the after-hours reconnection fee must be paid to have service reconnected.</w:t>
      </w:r>
    </w:p>
    <w:p w14:paraId="07C6D604" w14:textId="77777777" w:rsidR="0082005A" w:rsidRDefault="0082005A" w:rsidP="005A3E90">
      <w:pPr>
        <w:pStyle w:val="ListParagraph"/>
        <w:spacing w:line="240" w:lineRule="auto"/>
        <w:ind w:left="1335"/>
      </w:pPr>
    </w:p>
    <w:p w14:paraId="720D1A23" w14:textId="77777777" w:rsidR="0075221E" w:rsidRDefault="002E53F6" w:rsidP="00093E04">
      <w:pPr>
        <w:pStyle w:val="ListParagraph"/>
        <w:numPr>
          <w:ilvl w:val="0"/>
          <w:numId w:val="5"/>
        </w:numPr>
        <w:spacing w:line="240" w:lineRule="auto"/>
      </w:pPr>
      <w:r>
        <w:t>If a payment is returned for insufficient funds, the past-due b</w:t>
      </w:r>
      <w:r w:rsidR="00F87A90">
        <w:t xml:space="preserve">alance and all associated </w:t>
      </w:r>
      <w:r>
        <w:t>bank charges will be required upon notification to preve</w:t>
      </w:r>
      <w:r w:rsidR="00F87A90">
        <w:t xml:space="preserve">nt the service from being </w:t>
      </w:r>
      <w:r>
        <w:t>disconnected.</w:t>
      </w:r>
    </w:p>
    <w:p w14:paraId="7BB0A3E0" w14:textId="77777777" w:rsidR="009F3B51" w:rsidRDefault="009F3B51" w:rsidP="009F3B51">
      <w:pPr>
        <w:pStyle w:val="ListParagraph"/>
        <w:spacing w:line="240" w:lineRule="auto"/>
        <w:ind w:left="1335"/>
      </w:pPr>
    </w:p>
    <w:p w14:paraId="428BCF9F" w14:textId="77777777" w:rsidR="009F3B51" w:rsidRDefault="009F3B51" w:rsidP="009F3B51">
      <w:pPr>
        <w:pStyle w:val="ListParagraph"/>
        <w:numPr>
          <w:ilvl w:val="0"/>
          <w:numId w:val="5"/>
        </w:numPr>
        <w:spacing w:line="240" w:lineRule="auto"/>
      </w:pPr>
      <w:r>
        <w:t xml:space="preserve">An administrative fee in the amount of $6.00/month will be added to all bills to cover costs of meter reading, bill creation and processing. </w:t>
      </w:r>
    </w:p>
    <w:p w14:paraId="08A8DB5C" w14:textId="77777777" w:rsidR="002E53F6" w:rsidRDefault="00B861A6" w:rsidP="00093E04">
      <w:pPr>
        <w:spacing w:line="240" w:lineRule="auto"/>
        <w:contextualSpacing/>
      </w:pPr>
      <w:r>
        <w:t>V</w:t>
      </w:r>
      <w:r w:rsidR="002D2B5F">
        <w:t xml:space="preserve">. </w:t>
      </w:r>
      <w:r w:rsidR="002E53F6">
        <w:t>Unauthorized Connections</w:t>
      </w:r>
    </w:p>
    <w:p w14:paraId="50F40EAB" w14:textId="77777777" w:rsidR="00F87A90" w:rsidRDefault="002E53F6" w:rsidP="00F87A90">
      <w:pPr>
        <w:pStyle w:val="ListParagraph"/>
        <w:numPr>
          <w:ilvl w:val="0"/>
          <w:numId w:val="4"/>
        </w:numPr>
        <w:spacing w:line="240" w:lineRule="auto"/>
      </w:pPr>
      <w:r>
        <w:t>The connection of any water supply to a Louisa County W</w:t>
      </w:r>
      <w:r w:rsidR="00B861A6">
        <w:t xml:space="preserve">ater Authority owned or </w:t>
      </w:r>
      <w:r w:rsidR="00B861A6">
        <w:tab/>
      </w:r>
      <w:r w:rsidR="00F87A90">
        <w:t xml:space="preserve">         </w:t>
      </w:r>
    </w:p>
    <w:p w14:paraId="3DE3A371" w14:textId="31593E96" w:rsidR="002E53F6" w:rsidRDefault="002E53F6" w:rsidP="00F87A90">
      <w:pPr>
        <w:pStyle w:val="ListParagraph"/>
        <w:spacing w:line="240" w:lineRule="auto"/>
        <w:ind w:left="1425"/>
      </w:pPr>
      <w:r>
        <w:t xml:space="preserve">operated </w:t>
      </w:r>
      <w:r w:rsidR="00F87A90">
        <w:t>systems</w:t>
      </w:r>
      <w:r w:rsidR="00F15B82">
        <w:t xml:space="preserve"> </w:t>
      </w:r>
      <w:r w:rsidR="00E468F6">
        <w:t xml:space="preserve">is </w:t>
      </w:r>
      <w:r w:rsidR="00F87A90">
        <w:t xml:space="preserve">strictly prohibited and will </w:t>
      </w:r>
      <w:r w:rsidR="00DD24A0">
        <w:t xml:space="preserve">be fully prosecuted.  </w:t>
      </w:r>
      <w:r w:rsidR="00F87A90">
        <w:t xml:space="preserve"> </w:t>
      </w:r>
    </w:p>
    <w:p w14:paraId="6102006A" w14:textId="77777777" w:rsidR="004976B2" w:rsidRDefault="00B861A6" w:rsidP="00F87A90">
      <w:pPr>
        <w:spacing w:line="240" w:lineRule="auto"/>
        <w:contextualSpacing/>
      </w:pPr>
      <w:r>
        <w:t>V</w:t>
      </w:r>
      <w:r w:rsidR="0021325F">
        <w:t>I</w:t>
      </w:r>
      <w:r>
        <w:t xml:space="preserve">. </w:t>
      </w:r>
      <w:r w:rsidR="002E53F6">
        <w:t>Use of Service</w:t>
      </w:r>
    </w:p>
    <w:p w14:paraId="24D6BE99" w14:textId="77777777" w:rsidR="0033100C" w:rsidRDefault="0033100C" w:rsidP="00F87A90">
      <w:pPr>
        <w:spacing w:line="240" w:lineRule="auto"/>
        <w:contextualSpacing/>
      </w:pPr>
    </w:p>
    <w:p w14:paraId="5D5AB01F" w14:textId="77777777" w:rsidR="004976B2" w:rsidRDefault="004976B2" w:rsidP="004976B2">
      <w:pPr>
        <w:spacing w:line="240" w:lineRule="auto"/>
        <w:ind w:firstLine="720"/>
        <w:contextualSpacing/>
      </w:pPr>
      <w:r>
        <w:t xml:space="preserve">     A.  Any new service connection or applicant is expected to commence within thirty (30) days </w:t>
      </w:r>
      <w:r>
        <w:tab/>
      </w:r>
    </w:p>
    <w:p w14:paraId="7B238C78" w14:textId="77777777" w:rsidR="004976B2" w:rsidRDefault="004976B2" w:rsidP="004976B2">
      <w:pPr>
        <w:spacing w:line="240" w:lineRule="auto"/>
        <w:ind w:firstLine="720"/>
        <w:contextualSpacing/>
      </w:pPr>
      <w:r>
        <w:t xml:space="preserve">          from the date such service is made available.  Billing will commence at the end of the thirty </w:t>
      </w:r>
    </w:p>
    <w:p w14:paraId="1DD0D76D" w14:textId="66B34E95" w:rsidR="004976B2" w:rsidRDefault="004976B2" w:rsidP="004976B2">
      <w:pPr>
        <w:spacing w:line="240" w:lineRule="auto"/>
        <w:ind w:firstLine="720"/>
        <w:contextualSpacing/>
      </w:pPr>
      <w:r>
        <w:t xml:space="preserve">         (30) day period in accordance with prescribed rates, </w:t>
      </w:r>
      <w:r w:rsidR="00DD24A0">
        <w:t>terms,</w:t>
      </w:r>
      <w:r>
        <w:t xml:space="preserve"> and conditions. </w:t>
      </w:r>
    </w:p>
    <w:p w14:paraId="6FE51F93" w14:textId="77777777" w:rsidR="004976B2" w:rsidRDefault="004976B2" w:rsidP="00093E04">
      <w:pPr>
        <w:spacing w:line="240" w:lineRule="auto"/>
        <w:contextualSpacing/>
      </w:pPr>
    </w:p>
    <w:p w14:paraId="43F94655" w14:textId="77777777" w:rsidR="002E53F6" w:rsidRDefault="00B861A6" w:rsidP="00093E04">
      <w:pPr>
        <w:spacing w:line="240" w:lineRule="auto"/>
        <w:contextualSpacing/>
      </w:pPr>
      <w:r>
        <w:t>V</w:t>
      </w:r>
      <w:r w:rsidR="0021325F">
        <w:t>I</w:t>
      </w:r>
      <w:r>
        <w:t xml:space="preserve">I. </w:t>
      </w:r>
      <w:r w:rsidR="002E53F6">
        <w:t>Fire Sprinkler Systems</w:t>
      </w:r>
    </w:p>
    <w:p w14:paraId="4D0C1580" w14:textId="77777777" w:rsidR="00C50D26" w:rsidRDefault="00ED0E7C" w:rsidP="00093E04">
      <w:pPr>
        <w:pStyle w:val="ListParagraph"/>
        <w:numPr>
          <w:ilvl w:val="0"/>
          <w:numId w:val="2"/>
        </w:numPr>
        <w:spacing w:line="240" w:lineRule="auto"/>
      </w:pPr>
      <w:r>
        <w:t xml:space="preserve">Louisa County Water Authority allows its metered water system customers to connect fire suppression lines to the Authority’s water distribution system.  These lines will not be metered, but the customer is expected to report all fire suppression waterline usage, for testing or other purposes, to Louisa County Water Authority promptly.  </w:t>
      </w:r>
      <w:r w:rsidR="002E53F6">
        <w:t xml:space="preserve">  </w:t>
      </w:r>
    </w:p>
    <w:p w14:paraId="63A1BB8B" w14:textId="77777777" w:rsidR="00C53A32" w:rsidRDefault="00B861A6" w:rsidP="00093E04">
      <w:pPr>
        <w:spacing w:line="240" w:lineRule="auto"/>
        <w:contextualSpacing/>
      </w:pPr>
      <w:r>
        <w:t>VI</w:t>
      </w:r>
      <w:r w:rsidR="0021325F">
        <w:t>I</w:t>
      </w:r>
      <w:r>
        <w:t xml:space="preserve">I. </w:t>
      </w:r>
      <w:r w:rsidR="00C53A32">
        <w:t>Water Sales from Fire Hydrants</w:t>
      </w:r>
      <w:r>
        <w:t xml:space="preserve"> (Bulk Water)</w:t>
      </w:r>
      <w:r w:rsidR="00C53A32">
        <w:t>:</w:t>
      </w:r>
    </w:p>
    <w:p w14:paraId="4EA4C0DA" w14:textId="77777777" w:rsidR="00C53A32" w:rsidRDefault="00C53A32" w:rsidP="00093E04">
      <w:pPr>
        <w:spacing w:line="240" w:lineRule="auto"/>
        <w:contextualSpacing/>
      </w:pPr>
    </w:p>
    <w:p w14:paraId="2187409E" w14:textId="77777777" w:rsidR="00C53A32" w:rsidRDefault="00B861A6" w:rsidP="0033100C">
      <w:pPr>
        <w:spacing w:line="240" w:lineRule="auto"/>
        <w:ind w:left="1260"/>
        <w:contextualSpacing/>
      </w:pPr>
      <w:r>
        <w:t>A</w:t>
      </w:r>
      <w:r w:rsidR="00C53A32">
        <w:t>. Non-fire service related withdrawals from fire hydrants requ</w:t>
      </w:r>
      <w:r>
        <w:t xml:space="preserve">ire a permit and will be </w:t>
      </w:r>
      <w:r>
        <w:tab/>
      </w:r>
      <w:r>
        <w:tab/>
      </w:r>
      <w:r>
        <w:tab/>
        <w:t xml:space="preserve">  </w:t>
      </w:r>
      <w:r w:rsidR="00C53A32">
        <w:t>billed at the following rates:</w:t>
      </w:r>
    </w:p>
    <w:p w14:paraId="5CC6A392" w14:textId="77777777" w:rsidR="00C53A32" w:rsidRDefault="00C53A32" w:rsidP="00093E04">
      <w:pPr>
        <w:spacing w:line="240" w:lineRule="auto"/>
        <w:contextualSpacing/>
      </w:pPr>
    </w:p>
    <w:tbl>
      <w:tblPr>
        <w:tblStyle w:val="TableGrid"/>
        <w:tblW w:w="0" w:type="auto"/>
        <w:tblInd w:w="1728" w:type="dxa"/>
        <w:tblLook w:val="04A0" w:firstRow="1" w:lastRow="0" w:firstColumn="1" w:lastColumn="0" w:noHBand="0" w:noVBand="1"/>
      </w:tblPr>
      <w:tblGrid>
        <w:gridCol w:w="3060"/>
        <w:gridCol w:w="1710"/>
      </w:tblGrid>
      <w:tr w:rsidR="00C53A32" w14:paraId="6318A746" w14:textId="77777777" w:rsidTr="00C53A32">
        <w:tc>
          <w:tcPr>
            <w:tcW w:w="3060" w:type="dxa"/>
          </w:tcPr>
          <w:p w14:paraId="4B7DFE64" w14:textId="77777777" w:rsidR="00C53A32" w:rsidRDefault="00C53A32" w:rsidP="00C53A32">
            <w:pPr>
              <w:contextualSpacing/>
              <w:jc w:val="right"/>
            </w:pPr>
            <w:r>
              <w:t>0-100,000 gallons</w:t>
            </w:r>
          </w:p>
        </w:tc>
        <w:tc>
          <w:tcPr>
            <w:tcW w:w="1710" w:type="dxa"/>
          </w:tcPr>
          <w:p w14:paraId="3B9520D0" w14:textId="77777777" w:rsidR="00C53A32" w:rsidRDefault="00C53A32" w:rsidP="00C53A32">
            <w:pPr>
              <w:contextualSpacing/>
              <w:jc w:val="right"/>
            </w:pPr>
            <w:r>
              <w:t>$8.00/1,000</w:t>
            </w:r>
          </w:p>
        </w:tc>
      </w:tr>
      <w:tr w:rsidR="00C53A32" w14:paraId="0139C3AF" w14:textId="77777777" w:rsidTr="00C53A32">
        <w:tc>
          <w:tcPr>
            <w:tcW w:w="3060" w:type="dxa"/>
          </w:tcPr>
          <w:p w14:paraId="43D60EDB" w14:textId="77777777" w:rsidR="00C53A32" w:rsidRDefault="00C53A32" w:rsidP="00C53A32">
            <w:pPr>
              <w:contextualSpacing/>
              <w:jc w:val="right"/>
            </w:pPr>
            <w:r>
              <w:t>100,000 – 500,000 gallons</w:t>
            </w:r>
          </w:p>
        </w:tc>
        <w:tc>
          <w:tcPr>
            <w:tcW w:w="1710" w:type="dxa"/>
          </w:tcPr>
          <w:p w14:paraId="0604CD04" w14:textId="77777777" w:rsidR="00C53A32" w:rsidRDefault="00C53A32" w:rsidP="00C53A32">
            <w:pPr>
              <w:contextualSpacing/>
              <w:jc w:val="right"/>
            </w:pPr>
            <w:r>
              <w:t>$12.10/1,000</w:t>
            </w:r>
          </w:p>
        </w:tc>
      </w:tr>
      <w:tr w:rsidR="00C53A32" w14:paraId="6728AEAA" w14:textId="77777777" w:rsidTr="00C53A32">
        <w:tc>
          <w:tcPr>
            <w:tcW w:w="3060" w:type="dxa"/>
          </w:tcPr>
          <w:p w14:paraId="2014D104" w14:textId="77777777" w:rsidR="00C53A32" w:rsidRDefault="00C53A32" w:rsidP="00C53A32">
            <w:pPr>
              <w:contextualSpacing/>
              <w:jc w:val="right"/>
            </w:pPr>
            <w:r>
              <w:t>Over 500,000 gallons</w:t>
            </w:r>
          </w:p>
        </w:tc>
        <w:tc>
          <w:tcPr>
            <w:tcW w:w="1710" w:type="dxa"/>
          </w:tcPr>
          <w:p w14:paraId="59A34205" w14:textId="77777777" w:rsidR="00C53A32" w:rsidRDefault="00C53A32" w:rsidP="00C53A32">
            <w:pPr>
              <w:contextualSpacing/>
              <w:jc w:val="right"/>
            </w:pPr>
            <w:r>
              <w:t>$17.60/1,000</w:t>
            </w:r>
          </w:p>
        </w:tc>
      </w:tr>
    </w:tbl>
    <w:p w14:paraId="1EC1A70C" w14:textId="77777777" w:rsidR="00C53A32" w:rsidRDefault="00C53A32" w:rsidP="00093E04">
      <w:pPr>
        <w:spacing w:line="240" w:lineRule="auto"/>
        <w:contextualSpacing/>
      </w:pPr>
    </w:p>
    <w:p w14:paraId="0632316F" w14:textId="77777777" w:rsidR="00B861A6" w:rsidRDefault="0021325F" w:rsidP="002860EB">
      <w:r>
        <w:t>IX</w:t>
      </w:r>
      <w:r w:rsidR="00B861A6">
        <w:t>. Septage and portable toilet waste discharge:</w:t>
      </w:r>
      <w:r w:rsidR="002860EB">
        <w:tab/>
      </w:r>
    </w:p>
    <w:p w14:paraId="4E9F1A08" w14:textId="77777777" w:rsidR="002860EB" w:rsidRDefault="00B861A6" w:rsidP="00F87A90">
      <w:pPr>
        <w:ind w:left="720" w:firstLine="720"/>
        <w:rPr>
          <w:rFonts w:ascii="Calibri" w:hAnsi="Calibri"/>
        </w:rPr>
      </w:pPr>
      <w:r>
        <w:t>A</w:t>
      </w:r>
      <w:r w:rsidR="002860EB">
        <w:t>. Septage</w:t>
      </w:r>
      <w:r w:rsidR="002860EB" w:rsidRPr="00D46DD1">
        <w:rPr>
          <w:rFonts w:ascii="Calibri" w:hAnsi="Calibri"/>
        </w:rPr>
        <w:t xml:space="preserve"> and portable toilet waste </w:t>
      </w:r>
      <w:r w:rsidR="005A3E90">
        <w:rPr>
          <w:rFonts w:ascii="Calibri" w:hAnsi="Calibri"/>
        </w:rPr>
        <w:t xml:space="preserve">haulers </w:t>
      </w:r>
      <w:r w:rsidR="002860EB" w:rsidRPr="00D46DD1">
        <w:rPr>
          <w:rFonts w:ascii="Calibri" w:hAnsi="Calibri"/>
        </w:rPr>
        <w:t xml:space="preserve">discharge </w:t>
      </w:r>
      <w:r w:rsidR="005A3E90">
        <w:rPr>
          <w:rFonts w:ascii="Calibri" w:hAnsi="Calibri"/>
        </w:rPr>
        <w:t xml:space="preserve">(dump) </w:t>
      </w:r>
      <w:r w:rsidR="002860EB" w:rsidRPr="00D46DD1">
        <w:rPr>
          <w:rFonts w:ascii="Calibri" w:hAnsi="Calibri"/>
        </w:rPr>
        <w:t xml:space="preserve">fees </w:t>
      </w:r>
      <w:r w:rsidR="002860EB">
        <w:rPr>
          <w:rFonts w:ascii="Calibri" w:hAnsi="Calibri"/>
        </w:rPr>
        <w:t>are .10</w:t>
      </w:r>
      <w:r w:rsidR="002860EB">
        <w:rPr>
          <w:rFonts w:ascii="Calibri" w:hAnsi="Calibri" w:cs="Calibri"/>
        </w:rPr>
        <w:t>¢</w:t>
      </w:r>
      <w:r w:rsidR="002860EB">
        <w:rPr>
          <w:rFonts w:ascii="Calibri" w:hAnsi="Calibri"/>
        </w:rPr>
        <w:t>/gallon or $100.00/1,000.</w:t>
      </w:r>
    </w:p>
    <w:p w14:paraId="48B69347" w14:textId="77777777" w:rsidR="002860EB" w:rsidRDefault="00131B82" w:rsidP="00F87A90">
      <w:pPr>
        <w:ind w:left="1440"/>
        <w:rPr>
          <w:rFonts w:ascii="Calibri" w:hAnsi="Calibri"/>
        </w:rPr>
      </w:pPr>
      <w:r>
        <w:rPr>
          <w:rFonts w:ascii="Calibri" w:hAnsi="Calibri"/>
        </w:rPr>
        <w:t>B</w:t>
      </w:r>
      <w:r w:rsidR="002860EB">
        <w:rPr>
          <w:rFonts w:ascii="Calibri" w:hAnsi="Calibri"/>
        </w:rPr>
        <w:t>. The septage and portable toilet charge for Louisa County P</w:t>
      </w:r>
      <w:r w:rsidR="005A3E90">
        <w:rPr>
          <w:rFonts w:ascii="Calibri" w:hAnsi="Calibri"/>
        </w:rPr>
        <w:t>ublic Schools or Louisa Count</w:t>
      </w:r>
      <w:r w:rsidR="0047283D">
        <w:rPr>
          <w:rFonts w:ascii="Calibri" w:hAnsi="Calibri"/>
        </w:rPr>
        <w:t>y</w:t>
      </w:r>
      <w:r w:rsidR="005A3E90">
        <w:rPr>
          <w:rFonts w:ascii="Calibri" w:hAnsi="Calibri"/>
        </w:rPr>
        <w:t xml:space="preserve"> </w:t>
      </w:r>
      <w:r w:rsidR="002860EB">
        <w:rPr>
          <w:rFonts w:ascii="Calibri" w:hAnsi="Calibri"/>
        </w:rPr>
        <w:t>Government</w:t>
      </w:r>
      <w:r w:rsidR="005A3E90">
        <w:rPr>
          <w:rFonts w:ascii="Calibri" w:hAnsi="Calibri"/>
        </w:rPr>
        <w:t xml:space="preserve"> by Louisa County Water Authority for the discharge (dump) fees and the haul fees </w:t>
      </w:r>
      <w:r w:rsidR="0047283D">
        <w:rPr>
          <w:rFonts w:ascii="Calibri" w:hAnsi="Calibri"/>
        </w:rPr>
        <w:t>total</w:t>
      </w:r>
      <w:r w:rsidR="005A3E90">
        <w:rPr>
          <w:rFonts w:ascii="Calibri" w:hAnsi="Calibri"/>
        </w:rPr>
        <w:t xml:space="preserve"> </w:t>
      </w:r>
      <w:r w:rsidR="002860EB">
        <w:rPr>
          <w:rFonts w:ascii="Calibri" w:hAnsi="Calibri"/>
        </w:rPr>
        <w:t>.18</w:t>
      </w:r>
      <w:r w:rsidR="002860EB">
        <w:rPr>
          <w:rFonts w:ascii="Calibri" w:hAnsi="Calibri" w:cs="Calibri"/>
        </w:rPr>
        <w:t>¢</w:t>
      </w:r>
      <w:r w:rsidR="002860EB">
        <w:rPr>
          <w:rFonts w:ascii="Calibri" w:hAnsi="Calibri"/>
        </w:rPr>
        <w:t>/</w:t>
      </w:r>
      <w:r w:rsidR="00F87A90">
        <w:rPr>
          <w:rFonts w:ascii="Calibri" w:hAnsi="Calibri"/>
        </w:rPr>
        <w:t>gallon</w:t>
      </w:r>
      <w:r w:rsidR="002860EB">
        <w:rPr>
          <w:rFonts w:ascii="Calibri" w:hAnsi="Calibri"/>
        </w:rPr>
        <w:t xml:space="preserve"> or $180.00/1,000.</w:t>
      </w:r>
    </w:p>
    <w:p w14:paraId="1F3CD3A0" w14:textId="77777777" w:rsidR="00131B82" w:rsidRDefault="00131B82" w:rsidP="002860EB">
      <w:pPr>
        <w:rPr>
          <w:rFonts w:ascii="Calibri" w:hAnsi="Calibri"/>
        </w:rPr>
      </w:pPr>
      <w:r>
        <w:rPr>
          <w:rFonts w:ascii="Calibri" w:hAnsi="Calibri"/>
        </w:rPr>
        <w:t>X</w:t>
      </w:r>
      <w:r w:rsidR="002860EB">
        <w:rPr>
          <w:rFonts w:ascii="Calibri" w:hAnsi="Calibri"/>
        </w:rPr>
        <w:t>.</w:t>
      </w:r>
      <w:r>
        <w:rPr>
          <w:rFonts w:ascii="Calibri" w:hAnsi="Calibri"/>
        </w:rPr>
        <w:t xml:space="preserve"> Cross Connection and Control Program:</w:t>
      </w:r>
    </w:p>
    <w:p w14:paraId="7B8F69E1" w14:textId="77777777" w:rsidR="002860EB" w:rsidRDefault="00131B82" w:rsidP="00F87A90">
      <w:pPr>
        <w:ind w:left="1440"/>
        <w:rPr>
          <w:rFonts w:ascii="Calibri" w:hAnsi="Calibri"/>
        </w:rPr>
      </w:pPr>
      <w:r>
        <w:rPr>
          <w:rFonts w:ascii="Calibri" w:hAnsi="Calibri"/>
        </w:rPr>
        <w:lastRenderedPageBreak/>
        <w:t>A.</w:t>
      </w:r>
      <w:r w:rsidR="002860EB">
        <w:rPr>
          <w:rFonts w:ascii="Calibri" w:hAnsi="Calibri"/>
        </w:rPr>
        <w:t xml:space="preserve"> When a commercial or industrial customer </w:t>
      </w:r>
      <w:r w:rsidR="00BA0688">
        <w:rPr>
          <w:rFonts w:ascii="Calibri" w:hAnsi="Calibri"/>
        </w:rPr>
        <w:t>receive</w:t>
      </w:r>
      <w:r w:rsidR="00CA4637">
        <w:rPr>
          <w:rFonts w:ascii="Calibri" w:hAnsi="Calibri"/>
        </w:rPr>
        <w:t>s</w:t>
      </w:r>
      <w:r w:rsidR="00BA0688">
        <w:rPr>
          <w:rFonts w:ascii="Calibri" w:hAnsi="Calibri"/>
        </w:rPr>
        <w:t xml:space="preserve"> notification that certification </w:t>
      </w:r>
      <w:r w:rsidR="00CA4637">
        <w:rPr>
          <w:rFonts w:ascii="Calibri" w:hAnsi="Calibri"/>
        </w:rPr>
        <w:t xml:space="preserve">of </w:t>
      </w:r>
      <w:r w:rsidR="00F87A90">
        <w:rPr>
          <w:rFonts w:ascii="Calibri" w:hAnsi="Calibri"/>
        </w:rPr>
        <w:t xml:space="preserve">their </w:t>
      </w:r>
      <w:r w:rsidR="00CA4637">
        <w:rPr>
          <w:rFonts w:ascii="Calibri" w:hAnsi="Calibri"/>
        </w:rPr>
        <w:t>backflow preventer is due and they do not respond with the ap</w:t>
      </w:r>
      <w:r w:rsidR="00F87A90">
        <w:rPr>
          <w:rFonts w:ascii="Calibri" w:hAnsi="Calibri"/>
        </w:rPr>
        <w:t xml:space="preserve">propriate certification, their </w:t>
      </w:r>
      <w:r w:rsidR="00CA4637">
        <w:rPr>
          <w:rFonts w:ascii="Calibri" w:hAnsi="Calibri"/>
        </w:rPr>
        <w:t>service will be discontinued.  Once service is discontinued, the servi</w:t>
      </w:r>
      <w:r w:rsidR="00F87A90">
        <w:rPr>
          <w:rFonts w:ascii="Calibri" w:hAnsi="Calibri"/>
        </w:rPr>
        <w:t xml:space="preserve">ce will not be reconnected </w:t>
      </w:r>
      <w:r w:rsidR="00CA4637">
        <w:rPr>
          <w:rFonts w:ascii="Calibri" w:hAnsi="Calibri"/>
        </w:rPr>
        <w:t>until all certification</w:t>
      </w:r>
      <w:r w:rsidR="0047283D">
        <w:rPr>
          <w:rFonts w:ascii="Calibri" w:hAnsi="Calibri"/>
        </w:rPr>
        <w:t xml:space="preserve">s are completed </w:t>
      </w:r>
      <w:r w:rsidR="00CA4637">
        <w:rPr>
          <w:rFonts w:ascii="Calibri" w:hAnsi="Calibri"/>
        </w:rPr>
        <w:t xml:space="preserve">and a reconnect fee is paid. </w:t>
      </w:r>
    </w:p>
    <w:p w14:paraId="47DDC4E3" w14:textId="77777777" w:rsidR="00131B82" w:rsidRDefault="00131B82" w:rsidP="002860EB">
      <w:pPr>
        <w:rPr>
          <w:rFonts w:ascii="Calibri" w:hAnsi="Calibri"/>
        </w:rPr>
      </w:pPr>
      <w:r>
        <w:rPr>
          <w:rFonts w:ascii="Calibri" w:hAnsi="Calibri"/>
        </w:rPr>
        <w:t>X</w:t>
      </w:r>
      <w:r w:rsidR="0021325F">
        <w:rPr>
          <w:rFonts w:ascii="Calibri" w:hAnsi="Calibri"/>
        </w:rPr>
        <w:t>I</w:t>
      </w:r>
      <w:r w:rsidR="00CA4637">
        <w:rPr>
          <w:rFonts w:ascii="Calibri" w:hAnsi="Calibri"/>
        </w:rPr>
        <w:t xml:space="preserve">. </w:t>
      </w:r>
      <w:r>
        <w:rPr>
          <w:rFonts w:ascii="Calibri" w:hAnsi="Calibri"/>
        </w:rPr>
        <w:t xml:space="preserve">Smoke Testing Sewer Lines: </w:t>
      </w:r>
    </w:p>
    <w:p w14:paraId="21D724E3" w14:textId="757E3AFC" w:rsidR="002860EB" w:rsidRDefault="00F87A90" w:rsidP="005A3E90">
      <w:pPr>
        <w:ind w:left="1440"/>
      </w:pPr>
      <w:r>
        <w:t xml:space="preserve">A. </w:t>
      </w:r>
      <w:r w:rsidR="00CA4637" w:rsidRPr="002D2B5F">
        <w:t xml:space="preserve">Every two years the Authority performs smoke testing </w:t>
      </w:r>
      <w:r>
        <w:t xml:space="preserve">on the sewer mains to </w:t>
      </w:r>
      <w:r w:rsidR="00131B82" w:rsidRPr="00F87A90">
        <w:t xml:space="preserve">determine </w:t>
      </w:r>
      <w:r w:rsidR="00CA4637" w:rsidRPr="00F87A90">
        <w:t xml:space="preserve">areas of Inflow and Infiltration.  If a customer has a broken clean-out </w:t>
      </w:r>
      <w:r w:rsidR="007E19FD" w:rsidRPr="00F87A90">
        <w:t>in need of repair, the Auth</w:t>
      </w:r>
      <w:r w:rsidR="00131B82" w:rsidRPr="00F87A90">
        <w:t xml:space="preserve">ority </w:t>
      </w:r>
      <w:r w:rsidR="0047283D">
        <w:t xml:space="preserve">provides notification </w:t>
      </w:r>
      <w:r w:rsidR="00F15B82">
        <w:t xml:space="preserve">of the needed repair and a </w:t>
      </w:r>
      <w:r w:rsidR="0047283D">
        <w:t xml:space="preserve">repair-by date.  Authority </w:t>
      </w:r>
      <w:r w:rsidR="007E19FD" w:rsidRPr="00F87A90">
        <w:t>maintenance staff can make the repair for a fee of $</w:t>
      </w:r>
      <w:r w:rsidR="00F15B82">
        <w:t>100</w:t>
      </w:r>
      <w:r w:rsidR="007E19FD" w:rsidRPr="00F87A90">
        <w:t>.00</w:t>
      </w:r>
      <w:r w:rsidR="0047283D">
        <w:t>,</w:t>
      </w:r>
      <w:r w:rsidR="007E19FD" w:rsidRPr="00F87A90">
        <w:t xml:space="preserve"> or th</w:t>
      </w:r>
      <w:r w:rsidR="00131B82" w:rsidRPr="00F87A90">
        <w:t xml:space="preserve">e customer can make the repair </w:t>
      </w:r>
      <w:r w:rsidR="007E19FD" w:rsidRPr="00F87A90">
        <w:t>and provide proof of the repair.  If the customer does not make th</w:t>
      </w:r>
      <w:r w:rsidR="00131B82" w:rsidRPr="00F87A90">
        <w:t xml:space="preserve">e repair </w:t>
      </w:r>
      <w:r w:rsidR="0047283D">
        <w:t>in the time allotted</w:t>
      </w:r>
      <w:r w:rsidR="00131B82" w:rsidRPr="00F87A90">
        <w:t xml:space="preserve">, </w:t>
      </w:r>
      <w:r w:rsidR="007E19FD" w:rsidRPr="00F87A90">
        <w:t>the Authority maintenance staff will make the repair and the custo</w:t>
      </w:r>
      <w:r w:rsidR="00131B82" w:rsidRPr="00F87A90">
        <w:t xml:space="preserve">mer will receive a bill in the </w:t>
      </w:r>
      <w:r w:rsidR="007E19FD" w:rsidRPr="00F87A90">
        <w:t>amount of $</w:t>
      </w:r>
      <w:r w:rsidR="00F15B82">
        <w:t>100</w:t>
      </w:r>
      <w:r w:rsidR="007E19FD" w:rsidRPr="00F87A90">
        <w:t>.00.</w:t>
      </w:r>
      <w:r w:rsidR="002860EB" w:rsidRPr="00F87A90">
        <w:t xml:space="preserve">      </w:t>
      </w:r>
    </w:p>
    <w:p w14:paraId="6ED178E1" w14:textId="77777777" w:rsidR="00E468F6" w:rsidRDefault="00E468F6" w:rsidP="00E468F6">
      <w:pPr>
        <w:rPr>
          <w:rFonts w:ascii="Calibri" w:hAnsi="Calibri"/>
        </w:rPr>
      </w:pPr>
      <w:r>
        <w:rPr>
          <w:rFonts w:ascii="Calibri" w:hAnsi="Calibri"/>
        </w:rPr>
        <w:t xml:space="preserve">XII. Grease Trap Program: </w:t>
      </w:r>
    </w:p>
    <w:p w14:paraId="75175508" w14:textId="77777777" w:rsidR="00E468F6" w:rsidRDefault="00E468F6" w:rsidP="00E468F6">
      <w:pPr>
        <w:ind w:left="1440"/>
        <w:rPr>
          <w:rFonts w:ascii="Calibri" w:hAnsi="Calibri"/>
        </w:rPr>
      </w:pPr>
      <w:r>
        <w:rPr>
          <w:rFonts w:ascii="Calibri" w:hAnsi="Calibri"/>
        </w:rPr>
        <w:t xml:space="preserve">A. When a commercial or industrial customer receives notification that certification that their Grease Trap has been pumped out or maintenance conducted and they do not respond with the appropriate certification, their service will be discontinued.  Once service is discontinued, the service will not be reconnected until all certifications are completed and a reconnect fee is paid. </w:t>
      </w:r>
    </w:p>
    <w:p w14:paraId="1B261982" w14:textId="77777777" w:rsidR="00E468F6" w:rsidRDefault="00E468F6" w:rsidP="00E468F6">
      <w:pPr>
        <w:rPr>
          <w:rFonts w:ascii="Calibri" w:hAnsi="Calibri"/>
        </w:rPr>
      </w:pPr>
      <w:r>
        <w:rPr>
          <w:rFonts w:ascii="Calibri" w:hAnsi="Calibri"/>
        </w:rPr>
        <w:t>XIII. Equipment Deposit:</w:t>
      </w:r>
    </w:p>
    <w:p w14:paraId="1FAD3E9C" w14:textId="77777777" w:rsidR="00E468F6" w:rsidRDefault="00E468F6" w:rsidP="00E468F6">
      <w:pPr>
        <w:rPr>
          <w:rFonts w:ascii="Calibri" w:hAnsi="Calibri"/>
        </w:rPr>
      </w:pPr>
      <w:r>
        <w:rPr>
          <w:rFonts w:ascii="Calibri" w:hAnsi="Calibri"/>
        </w:rPr>
        <w:tab/>
      </w:r>
      <w:r>
        <w:rPr>
          <w:rFonts w:ascii="Calibri" w:hAnsi="Calibri"/>
        </w:rPr>
        <w:tab/>
        <w:t xml:space="preserve">A. A $100 deposit is charged for equipment provided to contractors by Louisa County Water Authority </w:t>
      </w:r>
      <w:r>
        <w:rPr>
          <w:rFonts w:ascii="Calibri" w:hAnsi="Calibri"/>
        </w:rPr>
        <w:tab/>
      </w:r>
      <w:r>
        <w:rPr>
          <w:rFonts w:ascii="Calibri" w:hAnsi="Calibri"/>
        </w:rPr>
        <w:tab/>
      </w:r>
      <w:r>
        <w:rPr>
          <w:rFonts w:ascii="Calibri" w:hAnsi="Calibri"/>
        </w:rPr>
        <w:tab/>
        <w:t xml:space="preserve">for use during construction projects in Louisa County.  Once the equipment is returned to Louisa County </w:t>
      </w:r>
      <w:r>
        <w:rPr>
          <w:rFonts w:ascii="Calibri" w:hAnsi="Calibri"/>
        </w:rPr>
        <w:tab/>
      </w:r>
      <w:r>
        <w:rPr>
          <w:rFonts w:ascii="Calibri" w:hAnsi="Calibri"/>
        </w:rPr>
        <w:tab/>
      </w:r>
      <w:r>
        <w:rPr>
          <w:rFonts w:ascii="Calibri" w:hAnsi="Calibri"/>
        </w:rPr>
        <w:tab/>
        <w:t>Water Authority, the deposit is refunded.</w:t>
      </w:r>
    </w:p>
    <w:p w14:paraId="06A9B8FB" w14:textId="77777777" w:rsidR="00E468F6" w:rsidRPr="00093E04" w:rsidRDefault="00E468F6" w:rsidP="00E468F6"/>
    <w:sectPr w:rsidR="00E468F6" w:rsidRPr="00093E04" w:rsidSect="005A3E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5085"/>
    <w:multiLevelType w:val="hybridMultilevel"/>
    <w:tmpl w:val="A24CE1CE"/>
    <w:lvl w:ilvl="0" w:tplc="C4A47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C0FA2"/>
    <w:multiLevelType w:val="hybridMultilevel"/>
    <w:tmpl w:val="5E74DAFE"/>
    <w:lvl w:ilvl="0" w:tplc="6E88F89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66554E2"/>
    <w:multiLevelType w:val="hybridMultilevel"/>
    <w:tmpl w:val="0D249E92"/>
    <w:lvl w:ilvl="0" w:tplc="49F6F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557A0"/>
    <w:multiLevelType w:val="hybridMultilevel"/>
    <w:tmpl w:val="B1245526"/>
    <w:lvl w:ilvl="0" w:tplc="427E59CC">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765A8"/>
    <w:multiLevelType w:val="hybridMultilevel"/>
    <w:tmpl w:val="8BA81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E53AC"/>
    <w:multiLevelType w:val="hybridMultilevel"/>
    <w:tmpl w:val="13806404"/>
    <w:lvl w:ilvl="0" w:tplc="084A4CD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1780E78"/>
    <w:multiLevelType w:val="hybridMultilevel"/>
    <w:tmpl w:val="92D6C380"/>
    <w:lvl w:ilvl="0" w:tplc="427E59CC">
      <w:start w:val="1"/>
      <w:numFmt w:val="upperLetter"/>
      <w:lvlText w:val="%1."/>
      <w:lvlJc w:val="left"/>
      <w:pPr>
        <w:ind w:left="29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34683F3C"/>
    <w:multiLevelType w:val="hybridMultilevel"/>
    <w:tmpl w:val="A17CBB76"/>
    <w:lvl w:ilvl="0" w:tplc="1E2E48B6">
      <w:start w:val="1"/>
      <w:numFmt w:val="upperLetter"/>
      <w:lvlText w:val="%1."/>
      <w:lvlJc w:val="left"/>
      <w:pPr>
        <w:ind w:left="1335" w:hanging="360"/>
      </w:pPr>
      <w:rPr>
        <w:rFonts w:hint="default"/>
      </w:rPr>
    </w:lvl>
    <w:lvl w:ilvl="1" w:tplc="163AFCAC">
      <w:start w:val="1"/>
      <w:numFmt w:val="upperLetter"/>
      <w:lvlText w:val="%2."/>
      <w:lvlJc w:val="left"/>
      <w:pPr>
        <w:ind w:left="2655" w:hanging="960"/>
      </w:pPr>
      <w:rPr>
        <w:rFonts w:hint="default"/>
      </w:r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4D730672"/>
    <w:multiLevelType w:val="hybridMultilevel"/>
    <w:tmpl w:val="8BE0AD26"/>
    <w:lvl w:ilvl="0" w:tplc="04F0E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4479B5"/>
    <w:multiLevelType w:val="hybridMultilevel"/>
    <w:tmpl w:val="C6149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310339A"/>
    <w:multiLevelType w:val="hybridMultilevel"/>
    <w:tmpl w:val="230AA866"/>
    <w:lvl w:ilvl="0" w:tplc="C0AAD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663C18"/>
    <w:multiLevelType w:val="hybridMultilevel"/>
    <w:tmpl w:val="3F728AF0"/>
    <w:lvl w:ilvl="0" w:tplc="427E59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5C54FB0"/>
    <w:multiLevelType w:val="hybridMultilevel"/>
    <w:tmpl w:val="5CAA4CCC"/>
    <w:lvl w:ilvl="0" w:tplc="B17427BA">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727190037">
    <w:abstractNumId w:val="8"/>
  </w:num>
  <w:num w:numId="2" w16cid:durableId="1284923618">
    <w:abstractNumId w:val="1"/>
  </w:num>
  <w:num w:numId="3" w16cid:durableId="2013138279">
    <w:abstractNumId w:val="10"/>
  </w:num>
  <w:num w:numId="4" w16cid:durableId="928923689">
    <w:abstractNumId w:val="12"/>
  </w:num>
  <w:num w:numId="5" w16cid:durableId="326786467">
    <w:abstractNumId w:val="7"/>
  </w:num>
  <w:num w:numId="6" w16cid:durableId="83915810">
    <w:abstractNumId w:val="11"/>
  </w:num>
  <w:num w:numId="7" w16cid:durableId="976181663">
    <w:abstractNumId w:val="3"/>
  </w:num>
  <w:num w:numId="8" w16cid:durableId="1957324889">
    <w:abstractNumId w:val="6"/>
  </w:num>
  <w:num w:numId="9" w16cid:durableId="86730036">
    <w:abstractNumId w:val="5"/>
  </w:num>
  <w:num w:numId="10" w16cid:durableId="641741078">
    <w:abstractNumId w:val="4"/>
  </w:num>
  <w:num w:numId="11" w16cid:durableId="1829902438">
    <w:abstractNumId w:val="9"/>
  </w:num>
  <w:num w:numId="12" w16cid:durableId="1526216225">
    <w:abstractNumId w:val="0"/>
  </w:num>
  <w:num w:numId="13" w16cid:durableId="171207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04"/>
    <w:rsid w:val="000477B4"/>
    <w:rsid w:val="0005331E"/>
    <w:rsid w:val="00093E04"/>
    <w:rsid w:val="00131B82"/>
    <w:rsid w:val="00131F32"/>
    <w:rsid w:val="00187A82"/>
    <w:rsid w:val="001A04D0"/>
    <w:rsid w:val="001E392E"/>
    <w:rsid w:val="0021325F"/>
    <w:rsid w:val="002154A3"/>
    <w:rsid w:val="00215568"/>
    <w:rsid w:val="00217A68"/>
    <w:rsid w:val="00230B96"/>
    <w:rsid w:val="002860EB"/>
    <w:rsid w:val="00291031"/>
    <w:rsid w:val="002B5DD5"/>
    <w:rsid w:val="002C2D13"/>
    <w:rsid w:val="002D2B5F"/>
    <w:rsid w:val="002E53F6"/>
    <w:rsid w:val="0033100C"/>
    <w:rsid w:val="00334F54"/>
    <w:rsid w:val="003E74C9"/>
    <w:rsid w:val="0041270E"/>
    <w:rsid w:val="0047283D"/>
    <w:rsid w:val="00485222"/>
    <w:rsid w:val="00490C3D"/>
    <w:rsid w:val="004976B2"/>
    <w:rsid w:val="004B74E5"/>
    <w:rsid w:val="005325AF"/>
    <w:rsid w:val="00532E24"/>
    <w:rsid w:val="005A3E90"/>
    <w:rsid w:val="005E4661"/>
    <w:rsid w:val="00602F83"/>
    <w:rsid w:val="0064402E"/>
    <w:rsid w:val="00670F06"/>
    <w:rsid w:val="006A3759"/>
    <w:rsid w:val="006B0BBE"/>
    <w:rsid w:val="006E2B88"/>
    <w:rsid w:val="00742631"/>
    <w:rsid w:val="0075221E"/>
    <w:rsid w:val="00777D5E"/>
    <w:rsid w:val="00780710"/>
    <w:rsid w:val="007B571B"/>
    <w:rsid w:val="007D1B31"/>
    <w:rsid w:val="007E19FD"/>
    <w:rsid w:val="0082005A"/>
    <w:rsid w:val="00820296"/>
    <w:rsid w:val="009A2CFF"/>
    <w:rsid w:val="009B45C7"/>
    <w:rsid w:val="009B5BFA"/>
    <w:rsid w:val="009E454D"/>
    <w:rsid w:val="009F3B51"/>
    <w:rsid w:val="00A10465"/>
    <w:rsid w:val="00A84730"/>
    <w:rsid w:val="00AA6DE9"/>
    <w:rsid w:val="00AF2CFB"/>
    <w:rsid w:val="00B06C59"/>
    <w:rsid w:val="00B109FB"/>
    <w:rsid w:val="00B518CD"/>
    <w:rsid w:val="00B749D9"/>
    <w:rsid w:val="00B8120D"/>
    <w:rsid w:val="00B861A6"/>
    <w:rsid w:val="00BA0688"/>
    <w:rsid w:val="00BE2903"/>
    <w:rsid w:val="00C50D26"/>
    <w:rsid w:val="00C53A32"/>
    <w:rsid w:val="00C84777"/>
    <w:rsid w:val="00C978BC"/>
    <w:rsid w:val="00CA18AE"/>
    <w:rsid w:val="00CA4637"/>
    <w:rsid w:val="00CF5459"/>
    <w:rsid w:val="00D07D70"/>
    <w:rsid w:val="00D426BD"/>
    <w:rsid w:val="00D8749B"/>
    <w:rsid w:val="00D93338"/>
    <w:rsid w:val="00DD24A0"/>
    <w:rsid w:val="00DE32BB"/>
    <w:rsid w:val="00DF0792"/>
    <w:rsid w:val="00E060E1"/>
    <w:rsid w:val="00E412DC"/>
    <w:rsid w:val="00E468F6"/>
    <w:rsid w:val="00ED0E7C"/>
    <w:rsid w:val="00F12D74"/>
    <w:rsid w:val="00F15B82"/>
    <w:rsid w:val="00F87A90"/>
    <w:rsid w:val="00FF52EF"/>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C0E1"/>
  <w15:docId w15:val="{8A07D4CE-7E29-4123-A449-DFA1050B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1A6"/>
    <w:pPr>
      <w:ind w:left="720"/>
      <w:contextualSpacing/>
    </w:pPr>
  </w:style>
  <w:style w:type="paragraph" w:styleId="BalloonText">
    <w:name w:val="Balloon Text"/>
    <w:basedOn w:val="Normal"/>
    <w:link w:val="BalloonTextChar"/>
    <w:uiPriority w:val="99"/>
    <w:semiHidden/>
    <w:unhideWhenUsed/>
    <w:rsid w:val="00BE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03"/>
    <w:rPr>
      <w:rFonts w:ascii="Tahoma" w:hAnsi="Tahoma" w:cs="Tahoma"/>
      <w:sz w:val="16"/>
      <w:szCs w:val="16"/>
    </w:rPr>
  </w:style>
  <w:style w:type="paragraph" w:styleId="PlainText">
    <w:name w:val="Plain Text"/>
    <w:basedOn w:val="Normal"/>
    <w:link w:val="PlainTextChar"/>
    <w:uiPriority w:val="99"/>
    <w:rsid w:val="0075221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5221E"/>
    <w:rPr>
      <w:rFonts w:ascii="Courier New" w:eastAsia="Times New Roman" w:hAnsi="Courier New" w:cs="Courier New"/>
      <w:sz w:val="20"/>
      <w:szCs w:val="20"/>
    </w:rPr>
  </w:style>
  <w:style w:type="paragraph" w:styleId="Revision">
    <w:name w:val="Revision"/>
    <w:hidden/>
    <w:uiPriority w:val="99"/>
    <w:semiHidden/>
    <w:rsid w:val="00820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D257D-D3C7-411E-B6D0-9C2C4C8F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Baughman</dc:creator>
  <cp:lastModifiedBy>Amy Dunivan</cp:lastModifiedBy>
  <cp:revision>2</cp:revision>
  <cp:lastPrinted>2024-06-26T12:55:00Z</cp:lastPrinted>
  <dcterms:created xsi:type="dcterms:W3CDTF">2024-06-26T16:02:00Z</dcterms:created>
  <dcterms:modified xsi:type="dcterms:W3CDTF">2024-06-26T16:02:00Z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2022-11-21T21:18:06Z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fae16286-ebce-44ca-9cd5-488c3c2e3acc</vt:lpwstr>
  </property>
  <property fmtid="{D5CDD505-2E9C-101B-9397-08002B2CF9AE}" pid="7" name="MSIP_Label_defa4170-0d19-0005-0004-bc88714345d2_ActionId">
    <vt:lpwstr>450746e1-b187-4e8f-98ef-5e7b98f93e04</vt:lpwstr>
  </property>
  <property fmtid="{D5CDD505-2E9C-101B-9397-08002B2CF9AE}" pid="8" name="MSIP_Label_defa4170-0d19-0005-0004-bc88714345d2_ContentBits">
    <vt:lpwstr>0</vt:lpwstr>
  </property>
</Properties>
</file>